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284"/>
        <w:spacing w:before="40" w:after="40"/>
        <w:jc w:val="center"/>
        <w:rPr>
          <w:sz w:val="18"/>
          <w:szCs w:val="18"/>
        </w:rPr>
      </w:pPr>
      <w:r/>
      <w:bookmarkStart w:id="0" w:name="1кат."/>
      <w:r/>
      <w:r>
        <w:rPr>
          <w:rFonts w:cs="Calibri"/>
          <w:b/>
          <w:sz w:val="18"/>
          <w:szCs w:val="18"/>
        </w:rPr>
        <w:t>Дополнительное соглашение № 5</w:t>
      </w:r>
      <w:r>
        <w:rPr>
          <w:sz w:val="18"/>
          <w:szCs w:val="18"/>
        </w:rPr>
      </w:r>
    </w:p>
    <w:p>
      <w:pPr>
        <w:ind w:left="284"/>
        <w:spacing w:before="40" w:after="40"/>
        <w:jc w:val="center"/>
        <w:rPr>
          <w:sz w:val="18"/>
          <w:szCs w:val="18"/>
        </w:rPr>
      </w:pPr>
      <w:r>
        <w:rPr>
          <w:rFonts w:cs="Calibri"/>
          <w:b/>
          <w:sz w:val="18"/>
          <w:szCs w:val="18"/>
        </w:rPr>
        <w:t>к Договору управления многоквартирным домом от 01 января 2021 г.</w:t>
      </w:r>
      <w:r>
        <w:rPr>
          <w:sz w:val="18"/>
          <w:szCs w:val="18"/>
        </w:rPr>
      </w:r>
    </w:p>
    <w:p>
      <w:pPr>
        <w:ind w:left="284"/>
        <w:spacing/>
        <w:jc w:val="center"/>
        <w:rPr>
          <w:rFonts w:cs="Calibri"/>
          <w:b/>
          <w:sz w:val="18"/>
          <w:szCs w:val="18"/>
        </w:rPr>
      </w:pPr>
      <w:r/>
      <w:bookmarkStart w:id="1" w:name="_Hlk206054581"/>
      <w:r/>
      <w:r>
        <w:rPr>
          <w:rFonts w:cs="Calibri"/>
          <w:b/>
          <w:sz w:val="18"/>
          <w:szCs w:val="18"/>
        </w:rPr>
        <w:t xml:space="preserve">Адрес многоквартирного дома: </w:t>
      </w:r>
      <w:r>
        <w:rPr>
          <w:b/>
          <w:bCs/>
          <w:sz w:val="18"/>
          <w:szCs w:val="18"/>
        </w:rPr>
        <w:t>г. Братск, ж.р. Центральный</w:t>
      </w:r>
      <w:r>
        <w:rPr>
          <w:rFonts w:cs="Calibri"/>
          <w:b/>
          <w:bCs/>
          <w:sz w:val="18"/>
          <w:szCs w:val="18"/>
        </w:rPr>
        <w:t>,</w:t>
      </w:r>
      <w:r>
        <w:rPr>
          <w:rFonts w:cs="Calibri"/>
          <w:b/>
          <w:sz w:val="18"/>
          <w:szCs w:val="18"/>
        </w:rPr>
        <w:t xml:space="preserve"> ул. Рябикова дом </w:t>
      </w:r>
      <w:r>
        <w:rPr>
          <w:rFonts w:cs="Calibri"/>
          <w:b/>
          <w:sz w:val="18"/>
          <w:szCs w:val="18"/>
        </w:rPr>
        <w:t>23</w:t>
      </w:r>
    </w:p>
    <w:p>
      <w:pPr>
        <w:ind w:left="284"/>
        <w:spacing/>
        <w:jc w:val="center"/>
        <w:rPr>
          <w:rFonts w:cs="Calibri"/>
          <w:b/>
          <w:sz w:val="18"/>
          <w:szCs w:val="18"/>
        </w:rPr>
      </w:pPr>
      <w:r>
        <w:rPr>
          <w:rFonts w:cs="Calibri"/>
          <w:b/>
          <w:sz w:val="18"/>
          <w:szCs w:val="18"/>
        </w:rPr>
      </w:r>
    </w:p>
    <w:tbl>
      <w:tblPr>
        <w:tblStyle w:val="NormalTable"/>
        <w:name w:val="Таблица1"/>
        <w:tabOrder w:val="0"/>
        <w:jc w:val="left"/>
        <w:tblInd w:w="55" w:type="dxa"/>
        <w:tblW w:w="10378" w:type="dxa"/>
        <w:tblLook w:val="04A0" w:firstRow="1" w:lastRow="0" w:firstColumn="1" w:lastColumn="0" w:noHBand="0" w:noVBand="1"/>
      </w:tblPr>
      <w:tblGrid>
        <w:gridCol w:w="5189"/>
        <w:gridCol w:w="5189"/>
      </w:tblGrid>
      <w:tr>
        <w:trPr>
          <w:tblHeader w:val="0"/>
          <w:cantSplit w:val="0"/>
          <w:trHeight w:val="0" w:hRule="auto"/>
        </w:trPr>
        <w:tc>
          <w:tcPr>
            <w:tcW w:w="5189" w:type="dxa"/>
            <w:tcMar>
              <w:top w:w="55" w:type="dxa"/>
              <w:left w:w="55" w:type="dxa"/>
              <w:bottom w:w="55" w:type="dxa"/>
              <w:right w:w="55" w:type="dxa"/>
            </w:tcMar>
            <w:tmTcPr id="1757405527" protected="0"/>
          </w:tcPr>
          <w:p>
            <w:pPr>
              <w:pStyle w:val="para21"/>
              <w:rPr>
                <w:sz w:val="18"/>
                <w:szCs w:val="18"/>
              </w:rPr>
            </w:pPr>
            <w:r>
              <w:rPr>
                <w:sz w:val="18"/>
                <w:szCs w:val="18"/>
              </w:rPr>
              <w:t>г. Братск</w:t>
            </w:r>
          </w:p>
        </w:tc>
        <w:tc>
          <w:tcPr>
            <w:tcW w:w="5189" w:type="dxa"/>
            <w:tcMar>
              <w:top w:w="55" w:type="dxa"/>
              <w:left w:w="55" w:type="dxa"/>
              <w:bottom w:w="55" w:type="dxa"/>
              <w:right w:w="55" w:type="dxa"/>
            </w:tcMar>
            <w:tmTcPr id="1757405527" protected="0"/>
          </w:tcPr>
          <w:p>
            <w:pPr>
              <w:pStyle w:val="para21"/>
              <w:spacing/>
              <w:jc w:val="right"/>
              <w:rPr>
                <w:sz w:val="18"/>
                <w:szCs w:val="18"/>
              </w:rPr>
            </w:pPr>
            <w:r>
              <w:rPr>
                <w:sz w:val="18"/>
                <w:szCs w:val="18"/>
              </w:rPr>
              <w:t>01 января 2026 г.</w:t>
            </w:r>
          </w:p>
        </w:tc>
      </w:tr>
    </w:tbl>
    <w:p>
      <w:pPr>
        <w:ind w:left="284"/>
        <w:spacing w:line="216" w:lineRule="auto"/>
        <w:jc w:val="center"/>
        <w:rPr>
          <w:rFonts w:cs="Calibri"/>
          <w:b/>
          <w:sz w:val="18"/>
          <w:szCs w:val="18"/>
        </w:rPr>
      </w:pPr>
      <w:r>
        <w:rPr>
          <w:rFonts w:cs="Calibri"/>
          <w:b/>
          <w:sz w:val="18"/>
          <w:szCs w:val="18"/>
        </w:rPr>
      </w:r>
    </w:p>
    <w:p>
      <w:pPr>
        <w:ind w:right="-64" w:firstLine="284"/>
        <w:spacing/>
        <w:jc w:val="both"/>
        <w:tabs defTabSz="708">
          <w:tab w:val="left" w:pos="1470" w:leader="none"/>
        </w:tabs>
        <w:rPr>
          <w:sz w:val="18"/>
          <w:szCs w:val="18"/>
        </w:rPr>
      </w:pPr>
      <w:r>
        <w:rPr>
          <w:rFonts w:cs="Calibri"/>
          <w:sz w:val="18"/>
          <w:szCs w:val="18"/>
        </w:rPr>
        <w:t xml:space="preserve">Собственник помещения в многоквартирном доме: г. Братск, ж.р. Центральный, </w:t>
      </w:r>
      <w:r>
        <w:rPr>
          <w:rFonts w:cs="Calibri"/>
          <w:b/>
          <w:sz w:val="18"/>
          <w:szCs w:val="18"/>
        </w:rPr>
        <w:t xml:space="preserve"> ул. Рябикова дом 23</w:t>
      </w:r>
      <w:r>
        <w:rPr>
          <w:rFonts w:cs="Calibri"/>
          <w:sz w:val="18"/>
          <w:szCs w:val="18"/>
        </w:rPr>
        <w:t>, именуемый в дальнейшем «Собственник помещения или Собственник»,</w:t>
      </w:r>
      <w:r>
        <w:rPr>
          <w:sz w:val="18"/>
          <w:szCs w:val="18"/>
        </w:rPr>
      </w:r>
    </w:p>
    <w:p>
      <w:pPr>
        <w:ind w:right="-64" w:firstLine="284"/>
        <w:spacing/>
        <w:jc w:val="both"/>
        <w:tabs defTabSz="708">
          <w:tab w:val="left" w:pos="1470" w:leader="none"/>
        </w:tabs>
        <w:rPr>
          <w:sz w:val="18"/>
          <w:szCs w:val="18"/>
        </w:rPr>
      </w:pPr>
      <w:r>
        <w:rPr>
          <w:rFonts w:cs="Calibr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Pr>
          <w:rFonts w:cs="Calibri"/>
          <w:b/>
          <w:sz w:val="18"/>
          <w:szCs w:val="18"/>
        </w:rPr>
        <w:t xml:space="preserve">, </w:t>
      </w:r>
      <w:r>
        <w:rPr>
          <w:rFonts w:cs="Calibri"/>
          <w:sz w:val="18"/>
          <w:szCs w:val="18"/>
        </w:rPr>
        <w:t>при совместном упоминании именуемые «Стороны»</w:t>
      </w:r>
      <w:r>
        <w:rPr>
          <w:rFonts w:cs="Calibri"/>
          <w:b/>
          <w:sz w:val="18"/>
          <w:szCs w:val="18"/>
        </w:rPr>
        <w:t xml:space="preserve">, </w:t>
      </w:r>
      <w:r>
        <w:rPr>
          <w:rFonts w:cs="Calibri"/>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января 2021</w:t>
      </w:r>
      <w:r/>
      <w:bookmarkStart w:id="2" w:name="_GoBack"/>
      <w:r/>
      <w:bookmarkEnd w:id="2"/>
      <w:r/>
      <w:r>
        <w:rPr>
          <w:rFonts w:cs="Calibri"/>
          <w:sz w:val="18"/>
          <w:szCs w:val="18"/>
        </w:rPr>
        <w:t> г.</w:t>
      </w:r>
      <w:r>
        <w:rPr>
          <w:sz w:val="18"/>
          <w:szCs w:val="18"/>
        </w:rPr>
      </w:r>
    </w:p>
    <w:p>
      <w:pPr>
        <w:pStyle w:val="para7"/>
        <w:ind w:left="3824" w:firstLine="424"/>
        <w:rPr>
          <w:rFonts w:ascii="Times New Roman" w:hAnsi="Times New Roman" w:cs="Calibri"/>
          <w:b/>
          <w:bCs/>
          <w:sz w:val="18"/>
          <w:szCs w:val="18"/>
          <w:u w:color="auto" w:val="single"/>
        </w:rPr>
      </w:pPr>
      <w:r>
        <w:rPr>
          <w:rFonts w:ascii="Times New Roman" w:hAnsi="Times New Roman" w:cs="Calibri"/>
          <w:b/>
          <w:bCs/>
          <w:sz w:val="18"/>
          <w:szCs w:val="18"/>
          <w:u w:color="auto" w:val="single"/>
        </w:rPr>
      </w:r>
    </w:p>
    <w:p>
      <w:pPr>
        <w:spacing/>
        <w:jc w:val="center"/>
        <w:rPr>
          <w:sz w:val="18"/>
          <w:szCs w:val="18"/>
        </w:rPr>
      </w:pPr>
      <w:r>
        <w:rPr>
          <w:rFonts w:cs="Calibri"/>
          <w:b/>
          <w:bCs/>
          <w:sz w:val="18"/>
          <w:szCs w:val="18"/>
          <w:u w:color="auto" w:val="single"/>
        </w:rPr>
        <w:t>Раздел «Термины и определения»</w:t>
      </w:r>
      <w:r>
        <w:rPr>
          <w:sz w:val="18"/>
          <w:szCs w:val="18"/>
        </w:rPr>
      </w:r>
    </w:p>
    <w:p>
      <w:pPr>
        <w:spacing/>
        <w:jc w:val="both"/>
        <w:rPr>
          <w:sz w:val="18"/>
          <w:szCs w:val="18"/>
        </w:rPr>
      </w:pPr>
      <w:r>
        <w:rPr>
          <w:rFonts w:cs="Calibri"/>
          <w:b/>
          <w:bCs/>
          <w:sz w:val="18"/>
          <w:szCs w:val="18"/>
        </w:rPr>
        <w:tab/>
        <w:t>Изложить в новой редакции «Представитель собственника помещений в МКД»:</w:t>
      </w:r>
      <w:r>
        <w:rPr>
          <w:sz w:val="18"/>
          <w:szCs w:val="18"/>
        </w:rPr>
      </w:r>
    </w:p>
    <w:p>
      <w:pPr>
        <w:spacing/>
        <w:jc w:val="both"/>
        <w:rPr>
          <w:sz w:val="18"/>
          <w:szCs w:val="18"/>
        </w:rPr>
      </w:pPr>
      <w:r>
        <w:rPr>
          <w:rFonts w:cs="Calibr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r>
        <w:rPr>
          <w:sz w:val="18"/>
          <w:szCs w:val="18"/>
        </w:rPr>
      </w:r>
    </w:p>
    <w:p>
      <w:pPr>
        <w:spacing/>
        <w:jc w:val="center"/>
        <w:rPr>
          <w:sz w:val="18"/>
          <w:szCs w:val="18"/>
        </w:rPr>
      </w:pPr>
      <w:r>
        <w:rPr>
          <w:rFonts w:cs="Calibri"/>
          <w:bCs/>
          <w:sz w:val="18"/>
          <w:szCs w:val="18"/>
        </w:rPr>
        <w:tab/>
      </w:r>
      <w:r>
        <w:rPr>
          <w:rFonts w:cs="Calibri"/>
          <w:b/>
          <w:bCs/>
          <w:sz w:val="18"/>
          <w:szCs w:val="18"/>
        </w:rPr>
        <w:t>Раздел 4. «Права и обязанности Управляющей организации»</w:t>
      </w:r>
      <w:r>
        <w:rPr>
          <w:sz w:val="18"/>
          <w:szCs w:val="18"/>
        </w:rPr>
      </w:r>
    </w:p>
    <w:p>
      <w:pPr>
        <w:spacing/>
        <w:jc w:val="both"/>
        <w:rPr>
          <w:sz w:val="18"/>
          <w:szCs w:val="18"/>
        </w:rPr>
      </w:pPr>
      <w:r>
        <w:rPr>
          <w:rFonts w:cs="Calibri"/>
          <w:b/>
          <w:bCs/>
          <w:sz w:val="18"/>
          <w:szCs w:val="18"/>
        </w:rPr>
        <w:tab/>
        <w:t>Пункт 4.1.13. изложить в новой редакции:</w:t>
      </w:r>
      <w:r>
        <w:rPr>
          <w:sz w:val="18"/>
          <w:szCs w:val="18"/>
        </w:rPr>
      </w:r>
    </w:p>
    <w:p>
      <w:pPr>
        <w:spacing/>
        <w:jc w:val="both"/>
        <w:rPr>
          <w:sz w:val="18"/>
          <w:szCs w:val="18"/>
        </w:rPr>
      </w:pPr>
      <w:r>
        <w:rPr>
          <w:rFonts w:cs="Calibr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r>
        <w:rPr>
          <w:sz w:val="18"/>
          <w:szCs w:val="18"/>
        </w:rPr>
      </w:r>
    </w:p>
    <w:p>
      <w:pPr>
        <w:spacing/>
        <w:jc w:val="both"/>
        <w:rPr>
          <w:sz w:val="18"/>
          <w:szCs w:val="18"/>
        </w:rPr>
      </w:pPr>
      <w:r>
        <w:rPr>
          <w:rFonts w:cs="Calibri"/>
          <w:sz w:val="18"/>
          <w:szCs w:val="18"/>
        </w:rPr>
        <w:tab/>
        <w:t>Управляющая организация обеспечивает доставку Собственнику платежных документов любым из нижеуказанных способов:</w:t>
      </w:r>
      <w:r>
        <w:rPr>
          <w:sz w:val="18"/>
          <w:szCs w:val="18"/>
        </w:rPr>
      </w:r>
    </w:p>
    <w:p>
      <w:pPr>
        <w:spacing/>
        <w:jc w:val="both"/>
        <w:rPr>
          <w:sz w:val="18"/>
          <w:szCs w:val="18"/>
        </w:rPr>
      </w:pPr>
      <w:r>
        <w:rPr>
          <w:rFonts w:cs="Calibr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r>
        <w:rPr>
          <w:sz w:val="18"/>
          <w:szCs w:val="18"/>
        </w:rPr>
      </w:r>
    </w:p>
    <w:p>
      <w:pPr>
        <w:spacing/>
        <w:jc w:val="both"/>
        <w:rPr>
          <w:sz w:val="18"/>
          <w:szCs w:val="18"/>
        </w:rPr>
      </w:pPr>
      <w:r>
        <w:rPr>
          <w:rFonts w:cs="Calibr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r>
        <w:rPr>
          <w:sz w:val="18"/>
          <w:szCs w:val="18"/>
        </w:rPr>
      </w:r>
    </w:p>
    <w:p>
      <w:pPr>
        <w:spacing/>
        <w:jc w:val="both"/>
        <w:rPr>
          <w:sz w:val="18"/>
          <w:szCs w:val="18"/>
        </w:rPr>
      </w:pPr>
      <w:r>
        <w:rPr>
          <w:rFonts w:cs="Calibr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r>
        <w:rPr>
          <w:sz w:val="18"/>
          <w:szCs w:val="18"/>
        </w:rPr>
      </w:r>
    </w:p>
    <w:p>
      <w:pPr>
        <w:spacing/>
        <w:jc w:val="both"/>
        <w:rPr>
          <w:sz w:val="18"/>
          <w:szCs w:val="18"/>
        </w:rPr>
      </w:pPr>
      <w:r>
        <w:rPr>
          <w:rFonts w:cs="Calibri"/>
          <w:sz w:val="18"/>
          <w:szCs w:val="18"/>
        </w:rPr>
        <w:tab/>
        <w:t>- через ГИС ЖКХ;</w:t>
      </w:r>
      <w:r>
        <w:rPr>
          <w:sz w:val="18"/>
          <w:szCs w:val="18"/>
        </w:rPr>
      </w:r>
    </w:p>
    <w:p>
      <w:pPr>
        <w:spacing/>
        <w:jc w:val="both"/>
        <w:rPr>
          <w:sz w:val="18"/>
          <w:szCs w:val="18"/>
        </w:rPr>
      </w:pPr>
      <w:r>
        <w:rPr>
          <w:rFonts w:cs="Calibr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r>
        <w:rPr>
          <w:sz w:val="18"/>
          <w:szCs w:val="18"/>
        </w:rPr>
      </w:r>
    </w:p>
    <w:p>
      <w:pPr>
        <w:spacing/>
        <w:jc w:val="both"/>
        <w:rPr>
          <w:sz w:val="18"/>
          <w:szCs w:val="18"/>
        </w:rPr>
      </w:pPr>
      <w:r>
        <w:rPr>
          <w:rFonts w:cs="Calibr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r>
        <w:rPr>
          <w:sz w:val="18"/>
          <w:szCs w:val="18"/>
        </w:rPr>
      </w:r>
    </w:p>
    <w:p>
      <w:pPr>
        <w:spacing/>
        <w:jc w:val="both"/>
        <w:rPr>
          <w:sz w:val="18"/>
          <w:szCs w:val="18"/>
        </w:rPr>
      </w:pPr>
      <w:r>
        <w:rPr>
          <w:rFonts w:cs="Calibri"/>
          <w:sz w:val="18"/>
          <w:szCs w:val="18"/>
        </w:rPr>
        <w:tab/>
        <w:t>- отправления Управляющей организацией на адрес электронной почты, предоставленный Собственником;</w:t>
      </w:r>
      <w:r>
        <w:rPr>
          <w:sz w:val="18"/>
          <w:szCs w:val="18"/>
        </w:rPr>
      </w:r>
    </w:p>
    <w:p>
      <w:pPr>
        <w:spacing/>
        <w:jc w:val="both"/>
        <w:rPr>
          <w:sz w:val="18"/>
          <w:szCs w:val="18"/>
        </w:rPr>
      </w:pPr>
      <w:r>
        <w:rPr>
          <w:rFonts w:cs="Calibr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r>
        <w:rPr>
          <w:sz w:val="18"/>
          <w:szCs w:val="18"/>
        </w:rPr>
      </w:r>
    </w:p>
    <w:p>
      <w:pPr>
        <w:spacing/>
        <w:jc w:val="both"/>
        <w:rPr>
          <w:sz w:val="18"/>
          <w:szCs w:val="18"/>
        </w:rPr>
      </w:pPr>
      <w:r>
        <w:rPr>
          <w:rFonts w:cs="Calibri"/>
          <w:b/>
          <w:bCs/>
          <w:sz w:val="18"/>
          <w:szCs w:val="18"/>
        </w:rPr>
        <w:tab/>
        <w:t>Абзац 2 пункта 4.2.9.  изложить в новой редакции:</w:t>
      </w:r>
      <w:r>
        <w:rPr>
          <w:rFonts w:cs="Calibr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r>
        <w:rPr>
          <w:sz w:val="18"/>
          <w:szCs w:val="18"/>
        </w:rPr>
      </w:r>
    </w:p>
    <w:p>
      <w:pPr>
        <w:spacing/>
        <w:jc w:val="both"/>
        <w:rPr>
          <w:sz w:val="18"/>
          <w:szCs w:val="18"/>
        </w:rPr>
      </w:pPr>
      <w:r>
        <w:rPr>
          <w:rFonts w:cs="Calibri"/>
          <w:b/>
          <w:bCs/>
          <w:sz w:val="18"/>
          <w:szCs w:val="18"/>
        </w:rPr>
        <w:tab/>
        <w:t>Пункт 4.2.10. дополнить абзацем 2 следующего содержания:</w:t>
      </w:r>
      <w:r>
        <w:rPr>
          <w:sz w:val="18"/>
          <w:szCs w:val="18"/>
        </w:rPr>
      </w:r>
    </w:p>
    <w:p>
      <w:pPr>
        <w:spacing/>
        <w:jc w:val="both"/>
        <w:rPr>
          <w:sz w:val="18"/>
          <w:szCs w:val="18"/>
        </w:rPr>
      </w:pPr>
      <w:r>
        <w:rPr>
          <w:rFonts w:cs="Calibr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r>
        <w:rPr>
          <w:sz w:val="18"/>
          <w:szCs w:val="18"/>
        </w:rPr>
      </w:r>
    </w:p>
    <w:p>
      <w:pPr>
        <w:spacing/>
        <w:jc w:val="center"/>
        <w:rPr>
          <w:sz w:val="18"/>
          <w:szCs w:val="18"/>
        </w:rPr>
      </w:pPr>
      <w:r>
        <w:rPr>
          <w:rFonts w:cs="Calibri"/>
          <w:b/>
          <w:bCs/>
          <w:sz w:val="18"/>
          <w:szCs w:val="18"/>
          <w:u w:color="auto" w:val="single"/>
        </w:rPr>
        <w:t>Раздел 5 «Права и обязанности Собственников».</w:t>
      </w:r>
      <w:r>
        <w:rPr>
          <w:sz w:val="18"/>
          <w:szCs w:val="18"/>
        </w:rPr>
      </w:r>
    </w:p>
    <w:p>
      <w:pPr>
        <w:spacing/>
        <w:jc w:val="both"/>
        <w:rPr>
          <w:sz w:val="18"/>
          <w:szCs w:val="18"/>
        </w:rPr>
      </w:pPr>
      <w:r>
        <w:rPr>
          <w:rFonts w:cs="Calibri"/>
          <w:sz w:val="18"/>
          <w:szCs w:val="18"/>
        </w:rPr>
        <w:tab/>
      </w:r>
      <w:r>
        <w:rPr>
          <w:rFonts w:cs="Calibri"/>
          <w:b/>
          <w:bCs/>
          <w:sz w:val="18"/>
          <w:szCs w:val="18"/>
        </w:rPr>
        <w:t>Пункт 5.7. изложить в новой редакции:</w:t>
      </w:r>
      <w:r>
        <w:rPr>
          <w:sz w:val="18"/>
          <w:szCs w:val="18"/>
        </w:rPr>
      </w:r>
    </w:p>
    <w:p>
      <w:pPr>
        <w:spacing/>
        <w:jc w:val="both"/>
        <w:rPr>
          <w:sz w:val="18"/>
          <w:szCs w:val="18"/>
        </w:rPr>
      </w:pPr>
      <w:r>
        <w:rPr>
          <w:rFonts w:cs="Calibri"/>
          <w:sz w:val="18"/>
          <w:szCs w:val="18"/>
        </w:rPr>
        <w:tab/>
        <w:t>Обеспечивать доступ представителей Управляющей организации (подрядной организации) в помещение:</w:t>
      </w:r>
      <w:r>
        <w:rPr>
          <w:sz w:val="18"/>
          <w:szCs w:val="18"/>
        </w:rPr>
      </w:r>
    </w:p>
    <w:p>
      <w:pPr>
        <w:spacing/>
        <w:jc w:val="both"/>
        <w:rPr>
          <w:sz w:val="18"/>
          <w:szCs w:val="18"/>
        </w:rPr>
      </w:pPr>
      <w:r>
        <w:rPr>
          <w:rFonts w:cs="Calibr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r>
        <w:rPr>
          <w:sz w:val="18"/>
          <w:szCs w:val="18"/>
        </w:rPr>
      </w:r>
    </w:p>
    <w:p>
      <w:pPr>
        <w:spacing/>
        <w:jc w:val="both"/>
        <w:rPr>
          <w:sz w:val="18"/>
          <w:szCs w:val="18"/>
        </w:rPr>
      </w:pPr>
      <w:r>
        <w:rPr>
          <w:rFonts w:cs="Calibr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r>
        <w:rPr>
          <w:sz w:val="18"/>
          <w:szCs w:val="18"/>
        </w:rPr>
      </w:r>
    </w:p>
    <w:p>
      <w:pPr>
        <w:spacing/>
        <w:jc w:val="both"/>
        <w:rPr>
          <w:sz w:val="18"/>
          <w:szCs w:val="18"/>
        </w:rPr>
      </w:pPr>
      <w:r>
        <w:rPr>
          <w:rFonts w:cs="Calibr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r>
        <w:rPr>
          <w:sz w:val="18"/>
          <w:szCs w:val="18"/>
        </w:rPr>
      </w:r>
    </w:p>
    <w:p>
      <w:pPr>
        <w:spacing/>
        <w:jc w:val="both"/>
        <w:rPr>
          <w:sz w:val="18"/>
          <w:szCs w:val="18"/>
        </w:rPr>
      </w:pPr>
      <w:r>
        <w:rPr>
          <w:rFonts w:cs="Calibr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r>
        <w:rPr>
          <w:sz w:val="18"/>
          <w:szCs w:val="18"/>
        </w:rPr>
      </w:r>
    </w:p>
    <w:p>
      <w:pPr>
        <w:spacing/>
        <w:jc w:val="both"/>
        <w:rPr>
          <w:sz w:val="18"/>
          <w:szCs w:val="18"/>
        </w:rPr>
      </w:pPr>
      <w:r>
        <w:rPr>
          <w:rFonts w:cs="Calibr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r>
        <w:rPr>
          <w:sz w:val="18"/>
          <w:szCs w:val="18"/>
        </w:rPr>
      </w:r>
    </w:p>
    <w:p>
      <w:pPr>
        <w:spacing/>
        <w:jc w:val="both"/>
        <w:rPr>
          <w:sz w:val="18"/>
          <w:szCs w:val="18"/>
        </w:rPr>
      </w:pPr>
      <w:r>
        <w:rPr>
          <w:rFonts w:cs="Calibr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r>
        <w:rPr>
          <w:sz w:val="18"/>
          <w:szCs w:val="18"/>
        </w:rPr>
      </w:r>
    </w:p>
    <w:p>
      <w:pPr>
        <w:spacing/>
        <w:jc w:val="both"/>
        <w:rPr>
          <w:sz w:val="18"/>
          <w:szCs w:val="18"/>
        </w:rPr>
      </w:pPr>
      <w:r>
        <w:rPr>
          <w:rFonts w:cs="Calibri"/>
          <w:sz w:val="18"/>
          <w:szCs w:val="18"/>
        </w:rPr>
        <w:tab/>
      </w:r>
      <w:r>
        <w:rPr>
          <w:rFonts w:cs="Calibri"/>
          <w:b/>
          <w:bCs/>
          <w:sz w:val="18"/>
          <w:szCs w:val="18"/>
        </w:rPr>
        <w:t>Добавить пункт 5.20. следующего содержания:</w:t>
      </w:r>
      <w:r>
        <w:rPr>
          <w:sz w:val="18"/>
          <w:szCs w:val="18"/>
        </w:rPr>
      </w:r>
    </w:p>
    <w:p>
      <w:pPr>
        <w:spacing/>
        <w:jc w:val="both"/>
        <w:rPr>
          <w:sz w:val="18"/>
          <w:szCs w:val="18"/>
        </w:rPr>
      </w:pPr>
      <w:r>
        <w:rPr>
          <w:rFonts w:cs="Calibr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r>
        <w:rPr>
          <w:sz w:val="18"/>
          <w:szCs w:val="18"/>
        </w:rPr>
      </w:r>
    </w:p>
    <w:p>
      <w:pPr>
        <w:spacing/>
        <w:jc w:val="center"/>
        <w:rPr>
          <w:rFonts w:cs="Calibri"/>
          <w:b/>
          <w:bCs/>
          <w:sz w:val="10"/>
          <w:szCs w:val="10"/>
          <w:u w:color="auto" w:val="single"/>
        </w:rPr>
      </w:pPr>
      <w:r>
        <w:rPr>
          <w:rFonts w:cs="Calibri"/>
          <w:b/>
          <w:bCs/>
          <w:sz w:val="10"/>
          <w:szCs w:val="10"/>
          <w:u w:color="auto" w:val="single"/>
        </w:rPr>
      </w:r>
    </w:p>
    <w:p>
      <w:pPr>
        <w:spacing/>
        <w:jc w:val="center"/>
        <w:rPr>
          <w:sz w:val="18"/>
          <w:szCs w:val="18"/>
        </w:rPr>
      </w:pPr>
      <w:r>
        <w:rPr>
          <w:rFonts w:cs="Calibri"/>
          <w:b/>
          <w:bCs/>
          <w:sz w:val="18"/>
          <w:szCs w:val="18"/>
          <w:u w:color="auto" w:val="single"/>
        </w:rPr>
        <w:t>Раздел 6 «Цена договора»</w:t>
      </w:r>
      <w:r>
        <w:rPr>
          <w:sz w:val="18"/>
          <w:szCs w:val="18"/>
        </w:rPr>
      </w:r>
    </w:p>
    <w:p>
      <w:pPr>
        <w:ind w:firstLine="708"/>
        <w:spacing/>
        <w:jc w:val="both"/>
        <w:rPr>
          <w:sz w:val="18"/>
          <w:szCs w:val="18"/>
        </w:rPr>
      </w:pPr>
      <w:r>
        <w:rPr>
          <w:rFonts w:cs="Calibri"/>
          <w:b/>
          <w:bCs/>
          <w:sz w:val="18"/>
          <w:szCs w:val="18"/>
        </w:rPr>
        <w:t>Пункт 6.1. изложить в новой редакции:</w:t>
      </w:r>
      <w:r>
        <w:rPr>
          <w:sz w:val="18"/>
          <w:szCs w:val="18"/>
        </w:rPr>
      </w:r>
    </w:p>
    <w:p>
      <w:pPr>
        <w:ind w:firstLine="708"/>
        <w:spacing/>
        <w:jc w:val="both"/>
        <w:rPr>
          <w:sz w:val="18"/>
          <w:szCs w:val="18"/>
        </w:rPr>
      </w:pPr>
      <w:r>
        <w:rPr>
          <w:rFonts w:cs="Calibr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r>
        <w:rPr>
          <w:sz w:val="18"/>
          <w:szCs w:val="18"/>
        </w:rPr>
      </w:r>
    </w:p>
    <w:p>
      <w:pPr>
        <w:ind w:firstLine="708"/>
        <w:spacing/>
        <w:jc w:val="both"/>
        <w:rPr>
          <w:sz w:val="18"/>
          <w:szCs w:val="18"/>
        </w:rPr>
      </w:pPr>
      <w:r>
        <w:rPr>
          <w:rFonts w:cs="Calibri"/>
          <w:b/>
          <w:bCs/>
          <w:sz w:val="18"/>
          <w:szCs w:val="18"/>
        </w:rPr>
        <w:t>Пункт 6.2. изложить в новой редакции:</w:t>
      </w:r>
      <w:r>
        <w:rPr>
          <w:sz w:val="18"/>
          <w:szCs w:val="18"/>
        </w:rPr>
      </w:r>
    </w:p>
    <w:p>
      <w:pPr>
        <w:ind w:firstLine="708"/>
        <w:spacing/>
        <w:jc w:val="both"/>
        <w:rPr>
          <w:sz w:val="18"/>
          <w:szCs w:val="18"/>
        </w:rPr>
      </w:pPr>
      <w:r>
        <w:rPr>
          <w:rFonts w:cs="Calibr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r>
        <w:rPr>
          <w:sz w:val="18"/>
          <w:szCs w:val="18"/>
        </w:rPr>
      </w:r>
    </w:p>
    <w:p>
      <w:pPr>
        <w:ind w:firstLine="708"/>
        <w:spacing/>
        <w:jc w:val="both"/>
        <w:rPr>
          <w:sz w:val="18"/>
          <w:szCs w:val="18"/>
        </w:rPr>
      </w:pPr>
      <w:r>
        <w:rPr>
          <w:rFonts w:cs="Calibr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r>
        <w:rPr>
          <w:sz w:val="18"/>
          <w:szCs w:val="18"/>
        </w:rPr>
      </w:r>
    </w:p>
    <w:p>
      <w:pPr>
        <w:ind w:firstLine="708"/>
        <w:spacing/>
        <w:jc w:val="both"/>
        <w:rPr>
          <w:sz w:val="18"/>
          <w:szCs w:val="18"/>
        </w:rPr>
      </w:pPr>
      <w:r>
        <w:rPr>
          <w:rFonts w:cs="Calibr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r>
        <w:rPr>
          <w:sz w:val="18"/>
          <w:szCs w:val="18"/>
        </w:rPr>
      </w:r>
    </w:p>
    <w:p>
      <w:pPr>
        <w:ind w:firstLine="708"/>
        <w:spacing/>
        <w:jc w:val="both"/>
        <w:rPr>
          <w:sz w:val="18"/>
          <w:szCs w:val="18"/>
        </w:rPr>
      </w:pPr>
      <w:r>
        <w:rPr>
          <w:rFonts w:cs="Calibr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r>
        <w:rPr>
          <w:sz w:val="18"/>
          <w:szCs w:val="18"/>
        </w:rPr>
      </w:r>
    </w:p>
    <w:p>
      <w:pPr>
        <w:ind w:firstLine="708"/>
        <w:spacing/>
        <w:jc w:val="both"/>
        <w:rPr>
          <w:sz w:val="18"/>
          <w:szCs w:val="18"/>
        </w:rPr>
      </w:pPr>
      <w:r>
        <w:rPr>
          <w:rFonts w:cs="Calibri"/>
          <w:b/>
          <w:bCs/>
          <w:sz w:val="18"/>
          <w:szCs w:val="18"/>
        </w:rPr>
        <w:t>Пункт 6.2.1. - исключить.</w:t>
      </w:r>
      <w:r>
        <w:rPr>
          <w:sz w:val="18"/>
          <w:szCs w:val="18"/>
        </w:rPr>
      </w:r>
    </w:p>
    <w:p>
      <w:pPr>
        <w:ind w:firstLine="708"/>
        <w:spacing/>
        <w:jc w:val="both"/>
        <w:rPr>
          <w:sz w:val="18"/>
          <w:szCs w:val="18"/>
        </w:rPr>
      </w:pPr>
      <w:r>
        <w:rPr>
          <w:rFonts w:cs="Calibri"/>
          <w:b/>
          <w:bCs/>
          <w:sz w:val="18"/>
          <w:szCs w:val="18"/>
        </w:rPr>
        <w:t>Пункт 6.3. изложить в новой редакции:</w:t>
      </w:r>
      <w:r>
        <w:rPr>
          <w:sz w:val="18"/>
          <w:szCs w:val="18"/>
        </w:rPr>
      </w:r>
    </w:p>
    <w:p>
      <w:pPr>
        <w:ind w:firstLine="708"/>
        <w:spacing/>
        <w:jc w:val="both"/>
        <w:rPr>
          <w:sz w:val="18"/>
          <w:szCs w:val="18"/>
        </w:rPr>
      </w:pPr>
      <w:r>
        <w:rPr>
          <w:rFonts w:cs="Calibr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r>
        <w:rPr>
          <w:sz w:val="18"/>
          <w:szCs w:val="18"/>
        </w:rPr>
      </w:r>
    </w:p>
    <w:p>
      <w:pPr>
        <w:ind w:firstLine="708"/>
        <w:spacing/>
        <w:jc w:val="both"/>
        <w:rPr>
          <w:sz w:val="18"/>
          <w:szCs w:val="18"/>
        </w:rPr>
      </w:pPr>
      <w:r>
        <w:rPr>
          <w:rFonts w:cs="Calibr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r>
        <w:rPr>
          <w:sz w:val="18"/>
          <w:szCs w:val="18"/>
        </w:rPr>
      </w:r>
    </w:p>
    <w:p>
      <w:pPr>
        <w:ind w:firstLine="708"/>
        <w:spacing/>
        <w:jc w:val="both"/>
        <w:rPr>
          <w:sz w:val="18"/>
          <w:szCs w:val="18"/>
        </w:rPr>
      </w:pPr>
      <w:r>
        <w:rPr>
          <w:rFonts w:cs="Calibr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r>
        <w:rPr>
          <w:sz w:val="18"/>
          <w:szCs w:val="18"/>
        </w:rPr>
      </w:r>
    </w:p>
    <w:p>
      <w:pPr>
        <w:ind w:firstLine="708"/>
        <w:spacing/>
        <w:jc w:val="both"/>
        <w:rPr>
          <w:sz w:val="18"/>
          <w:szCs w:val="18"/>
        </w:rPr>
      </w:pPr>
      <w:r>
        <w:rPr>
          <w:rFonts w:cs="Calibr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r>
        <w:rPr>
          <w:sz w:val="18"/>
          <w:szCs w:val="18"/>
        </w:rPr>
      </w:r>
    </w:p>
    <w:p>
      <w:pPr>
        <w:ind w:firstLine="708"/>
        <w:spacing/>
        <w:jc w:val="both"/>
        <w:rPr>
          <w:sz w:val="18"/>
          <w:szCs w:val="18"/>
        </w:rPr>
      </w:pPr>
      <w:r>
        <w:rPr>
          <w:rFonts w:cs="Calibri"/>
          <w:sz w:val="18"/>
          <w:szCs w:val="18"/>
        </w:rPr>
        <w:t>- лично под роспись (с указанием даты получения, расшифровки подписи);</w:t>
      </w:r>
      <w:r>
        <w:rPr>
          <w:sz w:val="18"/>
          <w:szCs w:val="18"/>
        </w:rPr>
      </w:r>
    </w:p>
    <w:p>
      <w:pPr>
        <w:ind w:firstLine="708"/>
        <w:spacing/>
        <w:jc w:val="both"/>
        <w:rPr>
          <w:sz w:val="18"/>
          <w:szCs w:val="18"/>
        </w:rPr>
      </w:pPr>
      <w:r>
        <w:rPr>
          <w:rFonts w:cs="Calibr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r>
        <w:rPr>
          <w:sz w:val="18"/>
          <w:szCs w:val="18"/>
        </w:rPr>
      </w:r>
    </w:p>
    <w:p>
      <w:pPr>
        <w:ind w:firstLine="708"/>
        <w:spacing/>
        <w:jc w:val="both"/>
        <w:rPr>
          <w:sz w:val="18"/>
          <w:szCs w:val="18"/>
        </w:rPr>
      </w:pPr>
      <w:r>
        <w:rPr>
          <w:rFonts w:cs="Calibri"/>
          <w:sz w:val="18"/>
          <w:szCs w:val="18"/>
        </w:rPr>
        <w:t>- в его личный кабинет в ГИС ЖКХ.</w:t>
      </w:r>
      <w:r>
        <w:rPr>
          <w:sz w:val="18"/>
          <w:szCs w:val="18"/>
        </w:rPr>
      </w:r>
    </w:p>
    <w:p>
      <w:pPr>
        <w:ind w:firstLine="708"/>
        <w:spacing/>
        <w:jc w:val="both"/>
        <w:rPr>
          <w:sz w:val="18"/>
          <w:szCs w:val="18"/>
        </w:rPr>
      </w:pPr>
      <w:r>
        <w:rPr>
          <w:rFonts w:cs="Calibr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r>
        <w:rPr>
          <w:sz w:val="18"/>
          <w:szCs w:val="18"/>
        </w:rPr>
      </w:r>
    </w:p>
    <w:p>
      <w:pPr>
        <w:ind w:firstLine="708"/>
        <w:spacing/>
        <w:jc w:val="both"/>
        <w:rPr>
          <w:sz w:val="18"/>
          <w:szCs w:val="18"/>
        </w:rPr>
      </w:pPr>
      <w:r>
        <w:rPr>
          <w:rFonts w:cs="Calibr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r>
        <w:rPr>
          <w:sz w:val="18"/>
          <w:szCs w:val="18"/>
        </w:rPr>
      </w:r>
    </w:p>
    <w:p>
      <w:pPr>
        <w:ind w:firstLine="708"/>
        <w:spacing/>
        <w:jc w:val="both"/>
        <w:rPr>
          <w:sz w:val="18"/>
          <w:szCs w:val="18"/>
        </w:rPr>
      </w:pPr>
      <w:r>
        <w:rPr>
          <w:rFonts w:cs="Calibr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r>
        <w:rPr>
          <w:sz w:val="18"/>
          <w:szCs w:val="18"/>
        </w:rPr>
      </w:r>
    </w:p>
    <w:p>
      <w:pPr>
        <w:ind w:firstLine="708"/>
        <w:spacing/>
        <w:jc w:val="both"/>
        <w:rPr>
          <w:sz w:val="18"/>
          <w:szCs w:val="18"/>
        </w:rPr>
      </w:pPr>
      <w:r>
        <w:rPr>
          <w:rFonts w:cs="Calibr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r>
        <w:rPr>
          <w:sz w:val="18"/>
          <w:szCs w:val="18"/>
        </w:rPr>
      </w:r>
    </w:p>
    <w:p>
      <w:pPr>
        <w:ind w:firstLine="708"/>
        <w:spacing/>
        <w:jc w:val="both"/>
        <w:rPr>
          <w:sz w:val="18"/>
          <w:szCs w:val="18"/>
        </w:rPr>
      </w:pPr>
      <w:r>
        <w:rPr>
          <w:rFonts w:cs="Calibr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r>
        <w:rPr>
          <w:sz w:val="18"/>
          <w:szCs w:val="18"/>
        </w:rPr>
      </w:r>
    </w:p>
    <w:p>
      <w:pPr>
        <w:ind w:firstLine="708"/>
        <w:spacing/>
        <w:jc w:val="both"/>
        <w:rPr>
          <w:sz w:val="18"/>
          <w:szCs w:val="18"/>
        </w:rPr>
      </w:pPr>
      <w:r>
        <w:rPr>
          <w:rFonts w:cs="Calibri"/>
          <w:b/>
          <w:bCs/>
          <w:sz w:val="18"/>
          <w:szCs w:val="18"/>
        </w:rPr>
        <w:t>Пункт 6.5. изложить в новой редакции:</w:t>
      </w:r>
      <w:r>
        <w:rPr>
          <w:sz w:val="18"/>
          <w:szCs w:val="18"/>
        </w:rPr>
      </w:r>
    </w:p>
    <w:p>
      <w:pPr>
        <w:ind w:firstLine="708"/>
        <w:spacing/>
        <w:jc w:val="both"/>
        <w:rPr>
          <w:rFonts w:cs="Calibri"/>
          <w:sz w:val="18"/>
          <w:szCs w:val="18"/>
        </w:rPr>
      </w:pPr>
      <w:r>
        <w:rPr>
          <w:rFonts w:cs="Calibr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pPr>
        <w:ind w:firstLine="708"/>
        <w:spacing/>
        <w:jc w:val="both"/>
        <w:rPr>
          <w:sz w:val="18"/>
          <w:szCs w:val="18"/>
        </w:rPr>
      </w:pPr>
      <w:r>
        <w:rPr>
          <w:rFonts w:cs="Calibri"/>
          <w:b/>
          <w:bCs/>
          <w:sz w:val="18"/>
          <w:szCs w:val="18"/>
        </w:rPr>
        <w:t>Пункт 6.6. изложить в новой редакции:</w:t>
      </w:r>
      <w:r>
        <w:rPr>
          <w:sz w:val="18"/>
          <w:szCs w:val="18"/>
        </w:rPr>
      </w:r>
    </w:p>
    <w:p>
      <w:pPr>
        <w:ind w:firstLine="708"/>
        <w:spacing/>
        <w:jc w:val="both"/>
        <w:rPr>
          <w:sz w:val="18"/>
          <w:szCs w:val="18"/>
        </w:rPr>
      </w:pPr>
      <w:r>
        <w:rPr>
          <w:rFonts w:cs="Calibri"/>
          <w:sz w:val="18"/>
          <w:szCs w:val="18"/>
        </w:rPr>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r>
        <w:rPr>
          <w:sz w:val="18"/>
          <w:szCs w:val="18"/>
        </w:rPr>
      </w:r>
    </w:p>
    <w:p>
      <w:pPr>
        <w:ind w:firstLine="708"/>
        <w:spacing/>
        <w:jc w:val="both"/>
        <w:rPr>
          <w:sz w:val="18"/>
          <w:szCs w:val="18"/>
        </w:rPr>
      </w:pPr>
      <w:r>
        <w:rPr>
          <w:rFonts w:cs="Calibr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r>
        <w:rPr>
          <w:sz w:val="18"/>
          <w:szCs w:val="18"/>
        </w:rPr>
      </w:r>
    </w:p>
    <w:p>
      <w:pPr>
        <w:ind w:firstLine="708"/>
        <w:spacing/>
        <w:jc w:val="both"/>
        <w:rPr>
          <w:sz w:val="18"/>
          <w:szCs w:val="18"/>
        </w:rPr>
      </w:pPr>
      <w:r>
        <w:rPr>
          <w:rFonts w:cs="Calibr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r>
        <w:rPr>
          <w:sz w:val="18"/>
          <w:szCs w:val="18"/>
        </w:rPr>
      </w:r>
    </w:p>
    <w:p>
      <w:pPr>
        <w:ind w:firstLine="708"/>
        <w:spacing/>
        <w:jc w:val="both"/>
        <w:rPr>
          <w:sz w:val="18"/>
          <w:szCs w:val="18"/>
        </w:rPr>
      </w:pPr>
      <w:r>
        <w:rPr>
          <w:rFonts w:cs="Calibr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r>
        <w:rPr>
          <w:sz w:val="18"/>
          <w:szCs w:val="18"/>
        </w:rPr>
      </w:r>
    </w:p>
    <w:p>
      <w:pPr>
        <w:ind w:firstLine="708"/>
        <w:spacing/>
        <w:jc w:val="both"/>
        <w:rPr>
          <w:sz w:val="18"/>
          <w:szCs w:val="18"/>
        </w:rPr>
      </w:pPr>
      <w:r>
        <w:rPr>
          <w:rFonts w:cs="Calibr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r>
        <w:rPr>
          <w:sz w:val="18"/>
          <w:szCs w:val="18"/>
        </w:rPr>
      </w:r>
    </w:p>
    <w:p>
      <w:pPr>
        <w:ind w:firstLine="708"/>
        <w:spacing/>
        <w:jc w:val="both"/>
        <w:rPr>
          <w:sz w:val="18"/>
          <w:szCs w:val="18"/>
        </w:rPr>
      </w:pPr>
      <w:r>
        <w:rPr>
          <w:rFonts w:cs="Calibr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r>
        <w:rPr>
          <w:sz w:val="18"/>
          <w:szCs w:val="18"/>
        </w:rPr>
      </w:r>
    </w:p>
    <w:p>
      <w:pPr>
        <w:ind w:firstLine="708"/>
        <w:spacing/>
        <w:jc w:val="both"/>
        <w:rPr>
          <w:sz w:val="18"/>
          <w:szCs w:val="18"/>
        </w:rPr>
      </w:pPr>
      <w:r>
        <w:rPr>
          <w:rFonts w:cs="Calibr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r>
        <w:rPr>
          <w:sz w:val="18"/>
          <w:szCs w:val="18"/>
        </w:rPr>
      </w:r>
    </w:p>
    <w:p>
      <w:pPr>
        <w:ind w:firstLine="708"/>
        <w:spacing/>
        <w:jc w:val="center"/>
        <w:rPr>
          <w:b/>
          <w:bCs/>
          <w:sz w:val="18"/>
          <w:szCs w:val="18"/>
        </w:rPr>
      </w:pPr>
      <w:r>
        <w:rPr>
          <w:rFonts w:cs="Calibri"/>
          <w:b/>
          <w:bCs/>
          <w:sz w:val="18"/>
          <w:szCs w:val="18"/>
        </w:rPr>
        <w:t>Раздел 7. «Ответственность сторон»</w:t>
      </w:r>
      <w:r>
        <w:rPr>
          <w:b/>
          <w:bCs/>
          <w:sz w:val="18"/>
          <w:szCs w:val="18"/>
        </w:rPr>
      </w:r>
    </w:p>
    <w:p>
      <w:pPr>
        <w:ind w:firstLine="708"/>
        <w:spacing/>
        <w:jc w:val="both"/>
        <w:rPr>
          <w:b/>
          <w:bCs/>
          <w:sz w:val="18"/>
          <w:szCs w:val="18"/>
        </w:rPr>
      </w:pPr>
      <w:r>
        <w:rPr>
          <w:rFonts w:cs="Calibri"/>
          <w:b/>
          <w:bCs/>
          <w:sz w:val="18"/>
          <w:szCs w:val="18"/>
        </w:rPr>
        <w:t>Пункт 7.9. дополнить абзацем 8 следующего содержания:</w:t>
      </w:r>
      <w:r>
        <w:rPr>
          <w:b/>
          <w:bCs/>
          <w:sz w:val="18"/>
          <w:szCs w:val="18"/>
        </w:rPr>
      </w:r>
    </w:p>
    <w:p>
      <w:pPr>
        <w:ind w:firstLine="708"/>
        <w:spacing/>
        <w:jc w:val="both"/>
        <w:rPr>
          <w:sz w:val="18"/>
          <w:szCs w:val="18"/>
        </w:rPr>
      </w:pPr>
      <w:r>
        <w:rPr>
          <w:rFonts w:cs="Calibr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r>
        <w:rPr>
          <w:sz w:val="18"/>
          <w:szCs w:val="18"/>
        </w:rPr>
      </w:r>
    </w:p>
    <w:p>
      <w:pPr>
        <w:ind w:firstLine="708"/>
        <w:spacing/>
        <w:jc w:val="both"/>
        <w:rPr>
          <w:b/>
          <w:bCs/>
          <w:sz w:val="18"/>
          <w:szCs w:val="18"/>
        </w:rPr>
      </w:pPr>
      <w:r>
        <w:rPr>
          <w:rFonts w:cs="Calibri"/>
          <w:b/>
          <w:bCs/>
          <w:sz w:val="18"/>
          <w:szCs w:val="18"/>
        </w:rPr>
        <w:t>Добавить пункт 7.12. следующего содержания:</w:t>
      </w:r>
      <w:r>
        <w:rPr>
          <w:b/>
          <w:bCs/>
          <w:sz w:val="18"/>
          <w:szCs w:val="18"/>
        </w:rPr>
      </w:r>
    </w:p>
    <w:p>
      <w:pPr>
        <w:ind w:firstLine="708"/>
        <w:spacing/>
        <w:jc w:val="both"/>
        <w:rPr>
          <w:sz w:val="18"/>
          <w:szCs w:val="18"/>
        </w:rPr>
      </w:pPr>
      <w:r>
        <w:rPr>
          <w:rFonts w:cs="Calibr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r>
        <w:rPr>
          <w:sz w:val="18"/>
          <w:szCs w:val="18"/>
        </w:rPr>
      </w:r>
    </w:p>
    <w:p>
      <w:pPr>
        <w:ind w:firstLine="708"/>
        <w:spacing/>
        <w:jc w:val="both"/>
        <w:rPr>
          <w:sz w:val="18"/>
          <w:szCs w:val="18"/>
        </w:rPr>
      </w:pPr>
      <w:r>
        <w:rPr>
          <w:rFonts w:cs="Calibr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r>
        <w:rPr>
          <w:sz w:val="18"/>
          <w:szCs w:val="18"/>
        </w:rPr>
      </w:r>
    </w:p>
    <w:p>
      <w:pPr>
        <w:ind w:firstLine="708"/>
        <w:spacing/>
        <w:jc w:val="both"/>
        <w:rPr>
          <w:sz w:val="18"/>
          <w:szCs w:val="18"/>
        </w:rPr>
      </w:pPr>
      <w:r>
        <w:rPr>
          <w:rFonts w:cs="Calibr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r>
        <w:rPr>
          <w:sz w:val="18"/>
          <w:szCs w:val="18"/>
        </w:rPr>
      </w:r>
    </w:p>
    <w:p>
      <w:pPr>
        <w:spacing/>
        <w:jc w:val="center"/>
        <w:rPr>
          <w:sz w:val="18"/>
          <w:szCs w:val="18"/>
        </w:rPr>
      </w:pPr>
      <w:r>
        <w:rPr>
          <w:rFonts w:cs="Calibri"/>
          <w:b/>
          <w:bCs/>
          <w:sz w:val="18"/>
          <w:szCs w:val="18"/>
        </w:rPr>
        <w:t>Раздел 9. «Срок действия договора, сроки начала и окончания деятельности по управлению многоквартирным домом»</w:t>
      </w:r>
      <w:r>
        <w:rPr>
          <w:sz w:val="18"/>
          <w:szCs w:val="18"/>
        </w:rPr>
      </w:r>
    </w:p>
    <w:p>
      <w:pPr>
        <w:ind w:firstLine="708"/>
        <w:spacing/>
        <w:jc w:val="both"/>
        <w:rPr>
          <w:sz w:val="18"/>
          <w:szCs w:val="18"/>
        </w:rPr>
      </w:pPr>
      <w:r>
        <w:rPr>
          <w:rFonts w:cs="Calibri"/>
          <w:b/>
          <w:bCs/>
          <w:sz w:val="18"/>
          <w:szCs w:val="18"/>
        </w:rPr>
        <w:t>Пункт 9.1. изложить в новой редакции:</w:t>
      </w:r>
      <w:r>
        <w:rPr>
          <w:rFonts w:cs="Calibri"/>
          <w:bCs/>
          <w:sz w:val="18"/>
          <w:szCs w:val="18"/>
        </w:rPr>
        <w:t xml:space="preserve"> </w:t>
      </w:r>
      <w:r>
        <w:rPr>
          <w:sz w:val="18"/>
          <w:szCs w:val="18"/>
        </w:rPr>
      </w:r>
    </w:p>
    <w:p>
      <w:pPr>
        <w:ind w:firstLine="708"/>
        <w:spacing/>
        <w:jc w:val="both"/>
        <w:rPr>
          <w:sz w:val="18"/>
          <w:szCs w:val="18"/>
        </w:rPr>
      </w:pPr>
      <w:r>
        <w:rPr>
          <w:rFonts w:cs="Calibri"/>
          <w:bCs/>
          <w:sz w:val="18"/>
          <w:szCs w:val="18"/>
        </w:rPr>
        <w:t>Договор заключен на срок: до 31 декабря 2027 г.</w:t>
      </w:r>
      <w:r>
        <w:rPr>
          <w:sz w:val="18"/>
          <w:szCs w:val="18"/>
        </w:rPr>
      </w:r>
    </w:p>
    <w:p>
      <w:pPr>
        <w:ind w:firstLine="708"/>
        <w:spacing/>
        <w:jc w:val="both"/>
        <w:rPr>
          <w:sz w:val="18"/>
          <w:szCs w:val="18"/>
        </w:rPr>
      </w:pPr>
      <w:r>
        <w:rPr>
          <w:rFonts w:cs="Calibri"/>
          <w:b/>
          <w:bCs/>
          <w:sz w:val="18"/>
          <w:szCs w:val="18"/>
        </w:rPr>
        <w:t>Пункт 9.2. изложить в новой редакции:</w:t>
      </w:r>
      <w:r>
        <w:rPr>
          <w:sz w:val="18"/>
          <w:szCs w:val="18"/>
        </w:rPr>
      </w:r>
    </w:p>
    <w:p>
      <w:pPr>
        <w:ind w:firstLine="708"/>
        <w:spacing/>
        <w:jc w:val="both"/>
        <w:rPr>
          <w:sz w:val="18"/>
          <w:szCs w:val="18"/>
          <w:u w:color="auto" w:val="single"/>
        </w:rPr>
      </w:pPr>
      <w:r>
        <w:rPr>
          <w:rFonts w:cs="Calibr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r>
        <w:rPr>
          <w:sz w:val="18"/>
          <w:szCs w:val="18"/>
          <w:u w:color="auto" w:val="single"/>
        </w:rPr>
      </w:r>
    </w:p>
    <w:p>
      <w:pPr>
        <w:ind w:firstLine="708"/>
        <w:spacing/>
        <w:jc w:val="center"/>
        <w:rPr>
          <w:sz w:val="18"/>
          <w:szCs w:val="18"/>
          <w:u w:color="auto" w:val="single"/>
        </w:rPr>
      </w:pPr>
      <w:bookmarkEnd w:id="1"/>
      <w:r>
        <w:rPr>
          <w:sz w:val="18"/>
          <w:szCs w:val="18"/>
          <w:u w:color="auto" w:val="single"/>
        </w:rPr>
      </w:r>
      <w:r>
        <w:rPr>
          <w:b/>
          <w:bCs/>
          <w:sz w:val="18"/>
          <w:szCs w:val="18"/>
          <w:u w:color="auto" w:val="single"/>
        </w:rPr>
        <w:t>Приложение № 1 к договору управления многоквартирным домом от 01января 2021 г.</w:t>
      </w:r>
      <w:r>
        <w:rPr>
          <w:sz w:val="18"/>
          <w:szCs w:val="18"/>
          <w:u w:color="auto" w:val="single"/>
        </w:rPr>
      </w:r>
    </w:p>
    <w:p>
      <w:pPr>
        <w:ind w:firstLine="708"/>
        <w:spacing/>
        <w:jc w:val="center"/>
        <w:rPr>
          <w:sz w:val="18"/>
          <w:szCs w:val="18"/>
        </w:rPr>
      </w:pPr>
      <w:r>
        <w:rPr>
          <w:b/>
          <w:bCs/>
          <w:sz w:val="18"/>
          <w:szCs w:val="18"/>
          <w:u w:color="auto" w:val="single"/>
        </w:rPr>
        <w:t>«Перечень услуг и работ, необходимых для обеспечения надлежащего содержания</w:t>
      </w:r>
      <w:r>
        <w:rPr>
          <w:sz w:val="18"/>
          <w:szCs w:val="18"/>
        </w:rPr>
        <w:t xml:space="preserve"> </w:t>
      </w:r>
      <w:r>
        <w:rPr>
          <w:b/>
          <w:bCs/>
          <w:sz w:val="18"/>
          <w:szCs w:val="18"/>
          <w:u w:color="auto" w:val="single"/>
        </w:rPr>
        <w:t xml:space="preserve">общего имущества в многоквартирном доме (МКД)» </w:t>
      </w:r>
      <w:r>
        <w:rPr>
          <w:b/>
          <w:bCs/>
          <w:sz w:val="18"/>
          <w:szCs w:val="18"/>
        </w:rPr>
        <w:t>изложить в новой редакции:</w:t>
      </w:r>
      <w:r>
        <w:rPr>
          <w:sz w:val="18"/>
          <w:szCs w:val="18"/>
        </w:rPr>
      </w:r>
    </w:p>
    <w:p>
      <w:pPr>
        <w:ind w:left="6372" w:right="149"/>
        <w:spacing/>
        <w:jc w:val="right"/>
        <w:rPr>
          <w:sz w:val="18"/>
          <w:szCs w:val="18"/>
        </w:rPr>
      </w:pPr>
      <w:r>
        <w:rPr>
          <w:rFonts w:eastAsia="Calibri"/>
          <w:sz w:val="18"/>
          <w:szCs w:val="18"/>
          <w:lang w:eastAsia="en-us"/>
        </w:rPr>
        <w:t>Приложение № 1 к договору управления многоквартирным домом от 01.01.2021г.</w:t>
      </w:r>
      <w:r>
        <w:rPr>
          <w:sz w:val="18"/>
          <w:szCs w:val="18"/>
        </w:rPr>
      </w:r>
    </w:p>
    <w:p>
      <w:pPr>
        <w:spacing/>
        <w:jc w:val="center"/>
        <w:rPr>
          <w:bCs/>
          <w:sz w:val="18"/>
          <w:szCs w:val="18"/>
        </w:rPr>
      </w:pPr>
      <w:r>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r>
        <w:rPr>
          <w:bCs/>
          <w:sz w:val="18"/>
          <w:szCs w:val="18"/>
        </w:rPr>
      </w:r>
    </w:p>
    <w:tbl>
      <w:tblPr>
        <w:tblStyle w:val="TableGrid"/>
        <w:name w:val="Таблица2"/>
        <w:tabOrder w:val="0"/>
        <w:jc w:val="left"/>
        <w:tblInd w:w="0" w:type="dxa"/>
        <w:tblW w:w="10740" w:type="dxa"/>
        <w:tblLook w:val="04A0" w:firstRow="1" w:lastRow="0" w:firstColumn="1" w:lastColumn="0" w:noHBand="0" w:noVBand="1"/>
      </w:tblPr>
      <w:tblGrid>
        <w:gridCol w:w="488"/>
        <w:gridCol w:w="7700"/>
        <w:gridCol w:w="1701"/>
        <w:gridCol w:w="851"/>
      </w:tblGrid>
      <w:tr>
        <w:trPr>
          <w:tblHeader w:val="0"/>
          <w:cantSplit w:val="0"/>
          <w:trHeight w:val="70" w:hRule="atLeast"/>
        </w:trPr>
        <w:tc>
          <w:tcPr>
            <w:tcW w:w="488" w:type="dxa"/>
            <w:tmTcPr id="1757405527" protected="0"/>
          </w:tcPr>
          <w:p>
            <w:pPr>
              <w:pStyle w:val="para17"/>
              <w:rPr>
                <w:sz w:val="18"/>
                <w:szCs w:val="18"/>
              </w:rPr>
            </w:pPr>
            <w:r>
              <w:rPr>
                <w:sz w:val="18"/>
                <w:szCs w:val="18"/>
              </w:rPr>
              <w:t>№ п/п</w:t>
            </w:r>
          </w:p>
        </w:tc>
        <w:tc>
          <w:tcPr>
            <w:tcW w:w="7700" w:type="dxa"/>
            <w:tmTcPr id="1757405527" protected="0"/>
          </w:tcPr>
          <w:p>
            <w:pPr>
              <w:pStyle w:val="para17"/>
              <w:spacing/>
              <w:jc w:val="center"/>
              <w:rPr>
                <w:sz w:val="18"/>
                <w:szCs w:val="18"/>
              </w:rPr>
            </w:pPr>
            <w:r>
              <w:rPr>
                <w:sz w:val="18"/>
                <w:szCs w:val="18"/>
              </w:rPr>
              <w:t>Наименование работ</w:t>
            </w:r>
          </w:p>
        </w:tc>
        <w:tc>
          <w:tcPr>
            <w:tcW w:w="1701" w:type="dxa"/>
            <w:tmTcPr id="1757405527" protected="0"/>
          </w:tcPr>
          <w:p>
            <w:pPr>
              <w:pStyle w:val="para17"/>
              <w:spacing/>
              <w:jc w:val="center"/>
              <w:rPr>
                <w:sz w:val="18"/>
                <w:szCs w:val="18"/>
              </w:rPr>
            </w:pPr>
            <w:r>
              <w:rPr>
                <w:sz w:val="18"/>
                <w:szCs w:val="18"/>
              </w:rPr>
              <w:t>Периодичность выполненных услуг и работ</w:t>
            </w:r>
          </w:p>
        </w:tc>
        <w:tc>
          <w:tcPr>
            <w:tcW w:w="851" w:type="dxa"/>
            <w:tmTcPr id="1757405527" protected="0"/>
          </w:tcPr>
          <w:p>
            <w:pPr>
              <w:pStyle w:val="para17"/>
              <w:spacing/>
              <w:jc w:val="center"/>
              <w:rPr>
                <w:sz w:val="18"/>
                <w:szCs w:val="18"/>
              </w:rPr>
            </w:pPr>
            <w:r>
              <w:rPr>
                <w:sz w:val="18"/>
                <w:szCs w:val="18"/>
              </w:rPr>
              <w:t>Плата в руб. за 1м2</w:t>
            </w:r>
          </w:p>
        </w:tc>
      </w:tr>
      <w:tr>
        <w:trPr>
          <w:tblHeader w:val="0"/>
          <w:cantSplit w:val="0"/>
          <w:trHeight w:val="70" w:hRule="atLeast"/>
        </w:trPr>
        <w:tc>
          <w:tcPr>
            <w:tcW w:w="9889" w:type="dxa"/>
            <w:gridSpan w:val="3"/>
            <w:tmTcPr id="1757405527" protected="0"/>
          </w:tcPr>
          <w:p>
            <w:pPr>
              <w:pStyle w:val="para17"/>
              <w:spacing/>
              <w:jc w:val="center"/>
              <w:rPr>
                <w:b/>
                <w:sz w:val="18"/>
                <w:szCs w:val="18"/>
              </w:rPr>
            </w:pPr>
            <w:r>
              <w:rPr>
                <w:b/>
                <w:sz w:val="18"/>
                <w:szCs w:val="18"/>
              </w:rPr>
              <w:t>I. Содержание общего имущества в многоквартирном доме</w:t>
            </w:r>
          </w:p>
        </w:tc>
        <w:tc>
          <w:tcPr>
            <w:tcW w:w="851" w:type="dxa"/>
            <w:tmTcPr id="1757405527" protected="0"/>
          </w:tcPr>
          <w:p>
            <w:pPr>
              <w:pStyle w:val="para17"/>
              <w:rPr>
                <w:sz w:val="16"/>
                <w:szCs w:val="16"/>
              </w:rPr>
            </w:pPr>
            <w:r>
              <w:rPr>
                <w:sz w:val="16"/>
                <w:szCs w:val="16"/>
              </w:rPr>
              <w:t>2кат.</w:t>
            </w:r>
          </w:p>
        </w:tc>
      </w:tr>
      <w:tr>
        <w:trPr>
          <w:tblHeader w:val="0"/>
          <w:cantSplit w:val="0"/>
          <w:trHeight w:val="1133" w:hRule="atLeast"/>
        </w:trPr>
        <w:tc>
          <w:tcPr>
            <w:tcW w:w="488" w:type="dxa"/>
            <w:tmTcPr id="1757405527" protected="0"/>
          </w:tcPr>
          <w:p>
            <w:pPr>
              <w:pStyle w:val="para17"/>
              <w:rPr>
                <w:b/>
                <w:sz w:val="18"/>
                <w:szCs w:val="18"/>
              </w:rPr>
            </w:pPr>
            <w:r>
              <w:rPr>
                <w:b/>
                <w:sz w:val="18"/>
                <w:szCs w:val="18"/>
              </w:rPr>
            </w:r>
          </w:p>
        </w:tc>
        <w:tc>
          <w:tcPr>
            <w:tcW w:w="7700" w:type="dxa"/>
            <w:tmTcPr id="1757405527" protected="0"/>
          </w:tcPr>
          <w:p>
            <w:pPr>
              <w:pStyle w:val="para17"/>
              <w:rPr>
                <w:sz w:val="18"/>
                <w:szCs w:val="18"/>
              </w:rPr>
            </w:pPr>
            <w:r>
              <w:rPr>
                <w:b/>
                <w:sz w:val="18"/>
                <w:szCs w:val="18"/>
              </w:rPr>
              <w:t xml:space="preserve">Работы, выполняемые в зданиях с подвалами, а также работы, выполняемые в отношении всех фундаментов, в том числе: </w:t>
            </w:r>
            <w:r>
              <w:rPr>
                <w:sz w:val="18"/>
                <w:szCs w:val="18"/>
              </w:rPr>
              <w:t>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состоянием дверей подвалов и технических подполий, запорных устройств на них. Проверка (осмотр)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tmTcPr id="1757405527" protected="0"/>
          </w:tcPr>
          <w:p>
            <w:pPr>
              <w:pStyle w:val="para17"/>
              <w:rPr>
                <w:sz w:val="18"/>
                <w:szCs w:val="18"/>
              </w:rPr>
            </w:pPr>
            <w:r>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br w:type="textWrapping"/>
              <w:t>внеочередные осмотры*</w:t>
            </w:r>
          </w:p>
        </w:tc>
        <w:tc>
          <w:tcPr>
            <w:tcW w:w="851" w:type="dxa"/>
            <w:tmTcPr id="1757405527" protected="0"/>
          </w:tcPr>
          <w:p>
            <w:pPr>
              <w:pStyle w:val="para17"/>
              <w:rPr>
                <w:b/>
                <w:sz w:val="18"/>
                <w:szCs w:val="18"/>
              </w:rPr>
            </w:pPr>
            <w:r>
              <w:rPr>
                <w:b/>
                <w:sz w:val="18"/>
                <w:szCs w:val="18"/>
              </w:rPr>
              <w:t>0,09</w:t>
            </w:r>
          </w:p>
        </w:tc>
      </w:tr>
      <w:tr>
        <w:trPr>
          <w:tblHeader w:val="0"/>
          <w:cantSplit w:val="0"/>
          <w:trHeight w:val="555" w:hRule="atLeast"/>
        </w:trPr>
        <w:tc>
          <w:tcPr>
            <w:tcW w:w="488" w:type="dxa"/>
            <w:tmTcPr id="1757405527" protected="0"/>
          </w:tcPr>
          <w:p>
            <w:pPr>
              <w:pStyle w:val="para17"/>
              <w:rPr>
                <w:b/>
                <w:sz w:val="18"/>
                <w:szCs w:val="18"/>
              </w:rPr>
            </w:pPr>
            <w:r>
              <w:rPr>
                <w:b/>
                <w:sz w:val="18"/>
                <w:szCs w:val="18"/>
              </w:rPr>
              <w:t>2.</w:t>
            </w:r>
          </w:p>
        </w:tc>
        <w:tc>
          <w:tcPr>
            <w:tcW w:w="7700" w:type="dxa"/>
            <w:tmTcPr id="1757405527" protected="0"/>
          </w:tcPr>
          <w:p>
            <w:pPr>
              <w:pStyle w:val="para17"/>
              <w:rPr>
                <w:b/>
                <w:sz w:val="18"/>
                <w:szCs w:val="18"/>
              </w:rPr>
            </w:pPr>
            <w:r>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 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 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br w:type="textWrapping"/>
              <w:t xml:space="preserve">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 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 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Pr>
                <w:sz w:val="20"/>
                <w:szCs w:val="20"/>
              </w:rPr>
              <w:t>его выполнение</w:t>
            </w:r>
            <w:r>
              <w:rPr>
                <w:sz w:val="18"/>
                <w:szCs w:val="18"/>
              </w:rPr>
              <w:t>.</w:t>
            </w:r>
            <w:r>
              <w:rPr>
                <w:b/>
                <w:sz w:val="18"/>
                <w:szCs w:val="18"/>
              </w:rPr>
            </w:r>
          </w:p>
        </w:tc>
        <w:tc>
          <w:tcPr>
            <w:tcW w:w="1701" w:type="dxa"/>
            <w:tmTcPr id="1757405527" protected="0"/>
          </w:tcPr>
          <w:p>
            <w:pPr>
              <w:pStyle w:val="para17"/>
              <w:rPr>
                <w:sz w:val="18"/>
                <w:szCs w:val="18"/>
              </w:rPr>
            </w:pPr>
            <w:r>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br w:type="textWrapping"/>
              <w:t>внеочередные осмотры*</w:t>
            </w:r>
          </w:p>
        </w:tc>
        <w:tc>
          <w:tcPr>
            <w:tcW w:w="851" w:type="dxa"/>
            <w:tmTcPr id="1757405527" protected="0"/>
          </w:tcPr>
          <w:p>
            <w:pPr>
              <w:pStyle w:val="para17"/>
              <w:rPr>
                <w:b/>
                <w:sz w:val="18"/>
                <w:szCs w:val="18"/>
              </w:rPr>
            </w:pPr>
            <w:r>
              <w:rPr>
                <w:b/>
                <w:sz w:val="18"/>
                <w:szCs w:val="18"/>
              </w:rPr>
              <w:t>0,69</w:t>
            </w:r>
          </w:p>
        </w:tc>
      </w:tr>
      <w:tr>
        <w:trPr>
          <w:tblHeader w:val="0"/>
          <w:cantSplit w:val="0"/>
          <w:trHeight w:val="1275" w:hRule="atLeast"/>
        </w:trPr>
        <w:tc>
          <w:tcPr>
            <w:tcW w:w="488" w:type="dxa"/>
            <w:tmTcPr id="1757405527" protected="0"/>
          </w:tcPr>
          <w:p>
            <w:pPr>
              <w:pStyle w:val="para17"/>
              <w:rPr>
                <w:b/>
                <w:sz w:val="18"/>
                <w:szCs w:val="18"/>
              </w:rPr>
            </w:pPr>
            <w:r>
              <w:rPr>
                <w:b/>
                <w:sz w:val="18"/>
                <w:szCs w:val="18"/>
              </w:rPr>
              <w:t>3.</w:t>
            </w:r>
          </w:p>
        </w:tc>
        <w:tc>
          <w:tcPr>
            <w:tcW w:w="7700" w:type="dxa"/>
            <w:tmTcPr id="1757405527" protected="0"/>
          </w:tcPr>
          <w:p>
            <w:pPr>
              <w:pStyle w:val="para17"/>
              <w:rPr>
                <w:sz w:val="18"/>
                <w:szCs w:val="18"/>
              </w:rPr>
            </w:pPr>
            <w:r>
              <w:rPr>
                <w:b/>
                <w:sz w:val="18"/>
                <w:szCs w:val="18"/>
              </w:rPr>
              <w:t xml:space="preserve">Работы, выполняемые в целях надлежащего содержания крыш МКД, в том числе: </w:t>
            </w:r>
            <w:r>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p>
          <w:p>
            <w:pPr/>
            <w:r>
              <w:rPr>
                <w:sz w:val="18"/>
                <w:szCs w:val="18"/>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r/>
          </w:p>
        </w:tc>
        <w:tc>
          <w:tcPr>
            <w:tcW w:w="1701" w:type="dxa"/>
            <w:tmTcPr id="1757405527" protected="0"/>
          </w:tcPr>
          <w:p>
            <w:pPr>
              <w:pStyle w:val="para17"/>
              <w:rPr>
                <w:sz w:val="18"/>
                <w:szCs w:val="18"/>
              </w:rPr>
            </w:pPr>
            <w:r>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br w:type="textWrapping"/>
              <w:t>внеочередные осмотры*</w:t>
            </w:r>
          </w:p>
        </w:tc>
        <w:tc>
          <w:tcPr>
            <w:tcW w:w="851" w:type="dxa"/>
            <w:tmTcPr id="1757405527" protected="0"/>
          </w:tcPr>
          <w:p>
            <w:pPr>
              <w:pStyle w:val="para17"/>
              <w:rPr>
                <w:b/>
                <w:sz w:val="18"/>
                <w:szCs w:val="18"/>
              </w:rPr>
            </w:pPr>
            <w:r>
              <w:rPr>
                <w:b/>
                <w:sz w:val="18"/>
                <w:szCs w:val="18"/>
              </w:rPr>
              <w:t>0,33</w:t>
            </w:r>
          </w:p>
        </w:tc>
      </w:tr>
      <w:tr>
        <w:trPr>
          <w:tblHeader w:val="0"/>
          <w:cantSplit w:val="0"/>
          <w:trHeight w:val="1479" w:hRule="atLeast"/>
        </w:trPr>
        <w:tc>
          <w:tcPr>
            <w:tcW w:w="488" w:type="dxa"/>
            <w:tmTcPr id="1757405527" protected="0"/>
          </w:tcPr>
          <w:p>
            <w:pPr>
              <w:pStyle w:val="para17"/>
              <w:rPr>
                <w:b/>
                <w:sz w:val="18"/>
                <w:szCs w:val="18"/>
              </w:rPr>
            </w:pPr>
            <w:r>
              <w:rPr>
                <w:b/>
                <w:sz w:val="18"/>
                <w:szCs w:val="18"/>
              </w:rPr>
              <w:t>4.</w:t>
            </w:r>
          </w:p>
        </w:tc>
        <w:tc>
          <w:tcPr>
            <w:tcW w:w="7700" w:type="dxa"/>
            <w:tmTcPr id="1757405527" protected="0"/>
          </w:tcPr>
          <w:p>
            <w:pPr>
              <w:pStyle w:val="para17"/>
              <w:rPr>
                <w:b/>
                <w:sz w:val="18"/>
                <w:szCs w:val="18"/>
              </w:rPr>
            </w:pPr>
            <w:r>
              <w:rPr>
                <w:b/>
                <w:sz w:val="18"/>
                <w:szCs w:val="18"/>
              </w:rPr>
              <w:t>Работы, выполняемые в целях надлежащего содержания фасадов МКД, в том числе:</w:t>
            </w:r>
            <w:r>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r>
              <w:rPr>
                <w:b/>
                <w:sz w:val="18"/>
                <w:szCs w:val="18"/>
              </w:rPr>
            </w:r>
          </w:p>
        </w:tc>
        <w:tc>
          <w:tcPr>
            <w:tcW w:w="1701" w:type="dxa"/>
            <w:tmTcPr id="1757405527" protected="0"/>
          </w:tcPr>
          <w:p>
            <w:pPr>
              <w:pStyle w:val="para17"/>
              <w:rPr>
                <w:sz w:val="18"/>
                <w:szCs w:val="18"/>
              </w:rPr>
            </w:pPr>
            <w:r>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br w:type="textWrapping"/>
              <w:t>внеочередные осмотры*</w:t>
            </w:r>
          </w:p>
        </w:tc>
        <w:tc>
          <w:tcPr>
            <w:tcW w:w="851" w:type="dxa"/>
            <w:tmTcPr id="1757405527" protected="0"/>
          </w:tcPr>
          <w:p>
            <w:pPr>
              <w:pStyle w:val="para17"/>
              <w:rPr>
                <w:b/>
                <w:sz w:val="18"/>
                <w:szCs w:val="18"/>
              </w:rPr>
            </w:pPr>
            <w:r>
              <w:rPr>
                <w:b/>
                <w:sz w:val="18"/>
                <w:szCs w:val="18"/>
              </w:rPr>
              <w:t>0,27</w:t>
            </w:r>
          </w:p>
        </w:tc>
      </w:tr>
      <w:tr>
        <w:trPr>
          <w:tblHeader w:val="0"/>
          <w:cantSplit w:val="0"/>
          <w:trHeight w:val="2158" w:hRule="atLeast"/>
        </w:trPr>
        <w:tc>
          <w:tcPr>
            <w:tcW w:w="488" w:type="dxa"/>
            <w:tmTcPr id="1757405527" protected="0"/>
          </w:tcPr>
          <w:p>
            <w:pPr>
              <w:pStyle w:val="para17"/>
              <w:rPr>
                <w:b/>
                <w:sz w:val="18"/>
                <w:szCs w:val="18"/>
              </w:rPr>
            </w:pPr>
            <w:r>
              <w:rPr>
                <w:b/>
                <w:sz w:val="18"/>
                <w:szCs w:val="18"/>
              </w:rPr>
              <w:t>5.</w:t>
            </w:r>
          </w:p>
        </w:tc>
        <w:tc>
          <w:tcPr>
            <w:tcW w:w="7700" w:type="dxa"/>
            <w:tmTcPr id="1757405527" protected="0"/>
          </w:tcPr>
          <w:p>
            <w:pPr>
              <w:pStyle w:val="para17"/>
              <w:rPr>
                <w:sz w:val="18"/>
                <w:szCs w:val="18"/>
              </w:rPr>
            </w:pPr>
            <w:r>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 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tmTcPr id="1757405527" protected="0"/>
          </w:tcPr>
          <w:p>
            <w:pPr>
              <w:pStyle w:val="para17"/>
              <w:rPr>
                <w:sz w:val="18"/>
                <w:szCs w:val="18"/>
              </w:rPr>
            </w:pPr>
            <w:r>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br w:type="textWrapping"/>
              <w:t>внеочередные осмотры*</w:t>
            </w:r>
          </w:p>
        </w:tc>
        <w:tc>
          <w:tcPr>
            <w:tcW w:w="851" w:type="dxa"/>
            <w:tmTcPr id="1757405527" protected="0"/>
          </w:tcPr>
          <w:p>
            <w:pPr>
              <w:pStyle w:val="para17"/>
              <w:rPr>
                <w:b/>
                <w:sz w:val="18"/>
                <w:szCs w:val="18"/>
              </w:rPr>
            </w:pPr>
            <w:r>
              <w:rPr>
                <w:b/>
                <w:sz w:val="18"/>
                <w:szCs w:val="18"/>
              </w:rPr>
              <w:t>0,38</w:t>
            </w:r>
          </w:p>
        </w:tc>
      </w:tr>
      <w:tr>
        <w:trPr>
          <w:tblHeader w:val="0"/>
          <w:cantSplit w:val="0"/>
          <w:trHeight w:val="708" w:hRule="atLeast"/>
        </w:trPr>
        <w:tc>
          <w:tcPr>
            <w:tcW w:w="488" w:type="dxa"/>
            <w:tmTcPr id="1757405527" protected="0"/>
          </w:tcPr>
          <w:p>
            <w:pPr>
              <w:pStyle w:val="para17"/>
              <w:rPr>
                <w:b/>
                <w:sz w:val="18"/>
                <w:szCs w:val="18"/>
              </w:rPr>
            </w:pPr>
            <w:r>
              <w:rPr>
                <w:b/>
                <w:sz w:val="18"/>
                <w:szCs w:val="18"/>
              </w:rPr>
              <w:t>6.</w:t>
            </w:r>
          </w:p>
        </w:tc>
        <w:tc>
          <w:tcPr>
            <w:tcW w:w="7700" w:type="dxa"/>
            <w:tmTcPr id="1757405527" protected="0"/>
          </w:tcPr>
          <w:p>
            <w:pPr>
              <w:pStyle w:val="para17"/>
              <w:rPr>
                <w:sz w:val="18"/>
                <w:szCs w:val="18"/>
              </w:rPr>
            </w:pPr>
            <w:r>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tmTcPr id="1757405527" protected="0"/>
          </w:tcPr>
          <w:p>
            <w:pPr>
              <w:pStyle w:val="para17"/>
              <w:rPr>
                <w:sz w:val="18"/>
                <w:szCs w:val="18"/>
              </w:rPr>
            </w:pPr>
            <w:r>
              <w:rPr>
                <w:sz w:val="18"/>
                <w:szCs w:val="18"/>
              </w:rPr>
              <w:t>Планово - 2 раза в год и при необходимости</w:t>
              <w:br w:type="textWrapping"/>
              <w:t>внеочередные осмотры*</w:t>
            </w:r>
          </w:p>
        </w:tc>
        <w:tc>
          <w:tcPr>
            <w:tcW w:w="851" w:type="dxa"/>
            <w:tmTcPr id="1757405527" protected="0"/>
          </w:tcPr>
          <w:p>
            <w:pPr>
              <w:pStyle w:val="para17"/>
              <w:rPr>
                <w:b/>
                <w:sz w:val="18"/>
                <w:szCs w:val="18"/>
              </w:rPr>
            </w:pPr>
            <w:r>
              <w:rPr>
                <w:b/>
                <w:sz w:val="18"/>
                <w:szCs w:val="18"/>
              </w:rPr>
              <w:t>0,64</w:t>
            </w:r>
          </w:p>
        </w:tc>
      </w:tr>
      <w:tr>
        <w:trPr>
          <w:tblHeader w:val="0"/>
          <w:cantSplit w:val="0"/>
          <w:trHeight w:val="70" w:hRule="atLeast"/>
        </w:trPr>
        <w:tc>
          <w:tcPr>
            <w:tcW w:w="9889" w:type="dxa"/>
            <w:gridSpan w:val="3"/>
            <w:tmTcPr id="1757405527" protected="0"/>
          </w:tcPr>
          <w:p>
            <w:pPr>
              <w:pStyle w:val="para17"/>
              <w:rPr>
                <w:sz w:val="18"/>
                <w:szCs w:val="18"/>
              </w:rPr>
            </w:pPr>
            <w:r>
              <w:rPr>
                <w:sz w:val="18"/>
                <w:szCs w:val="18"/>
              </w:rPr>
              <w:t>Итого содержание конструктивных элементов (несущих и ненесущих конструкций) МКД</w:t>
            </w:r>
          </w:p>
        </w:tc>
        <w:tc>
          <w:tcPr>
            <w:tcW w:w="851" w:type="dxa"/>
            <w:tmTcPr id="1757405527" protected="0"/>
          </w:tcPr>
          <w:p>
            <w:pPr>
              <w:pStyle w:val="para17"/>
              <w:rPr>
                <w:b/>
                <w:sz w:val="18"/>
                <w:szCs w:val="18"/>
              </w:rPr>
            </w:pPr>
            <w:r>
              <w:rPr>
                <w:b/>
                <w:sz w:val="18"/>
                <w:szCs w:val="18"/>
              </w:rPr>
              <w:t>2,40</w:t>
            </w:r>
          </w:p>
        </w:tc>
      </w:tr>
      <w:tr>
        <w:trPr>
          <w:tblHeader w:val="0"/>
          <w:cantSplit w:val="0"/>
          <w:trHeight w:val="70" w:hRule="atLeast"/>
        </w:trPr>
        <w:tc>
          <w:tcPr>
            <w:tcW w:w="10740" w:type="dxa"/>
            <w:gridSpan w:val="4"/>
            <w:tmTcPr id="1757405527" protected="0"/>
          </w:tcPr>
          <w:p>
            <w:pPr>
              <w:pStyle w:val="para17"/>
              <w:rPr>
                <w:b/>
                <w:sz w:val="18"/>
                <w:szCs w:val="18"/>
              </w:rPr>
            </w:pPr>
            <w:r>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trPr>
          <w:tblHeader w:val="0"/>
          <w:cantSplit w:val="0"/>
          <w:trHeight w:val="1184" w:hRule="atLeast"/>
        </w:trPr>
        <w:tc>
          <w:tcPr>
            <w:tcW w:w="488" w:type="dxa"/>
            <w:tmTcPr id="1757405527" protected="0"/>
          </w:tcPr>
          <w:p>
            <w:pPr>
              <w:pStyle w:val="para17"/>
              <w:rPr>
                <w:b/>
                <w:sz w:val="18"/>
                <w:szCs w:val="18"/>
              </w:rPr>
            </w:pPr>
            <w:r>
              <w:rPr>
                <w:b/>
                <w:sz w:val="18"/>
                <w:szCs w:val="18"/>
              </w:rPr>
              <w:t>7.</w:t>
            </w:r>
          </w:p>
        </w:tc>
        <w:tc>
          <w:tcPr>
            <w:tcW w:w="7700" w:type="dxa"/>
            <w:tmTcPr id="1757405527" protected="0"/>
          </w:tcPr>
          <w:p>
            <w:pPr>
              <w:pStyle w:val="para17"/>
              <w:rPr>
                <w:b/>
                <w:sz w:val="18"/>
                <w:szCs w:val="18"/>
              </w:rPr>
            </w:pPr>
            <w:r>
              <w:rPr>
                <w:b/>
                <w:sz w:val="18"/>
                <w:szCs w:val="18"/>
              </w:rPr>
              <w:t xml:space="preserve">Работы, выполняемые в целях надлежащего содержания систем вентиляции МКД, в том числе: </w:t>
            </w:r>
            <w:r>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br w:type="textWrapping"/>
              <w:t>При выявлении повреждений и нарушений - разработка плана восстановительных работ (при необходимости), проведение восстановительных работ.</w:t>
            </w:r>
            <w:r>
              <w:rPr>
                <w:b/>
                <w:sz w:val="18"/>
                <w:szCs w:val="18"/>
              </w:rPr>
            </w:r>
          </w:p>
        </w:tc>
        <w:tc>
          <w:tcPr>
            <w:tcW w:w="1701" w:type="dxa"/>
            <w:tmTcPr id="1757405527" protected="0"/>
          </w:tcPr>
          <w:p>
            <w:pPr>
              <w:pStyle w:val="para17"/>
              <w:rPr>
                <w:sz w:val="16"/>
                <w:szCs w:val="16"/>
              </w:rPr>
            </w:pPr>
            <w:r>
              <w:rPr>
                <w:sz w:val="18"/>
                <w:szCs w:val="18"/>
              </w:rPr>
              <w:t>Планово - 2 раза в год</w:t>
            </w:r>
            <w:r>
              <w:rPr>
                <w:sz w:val="16"/>
                <w:szCs w:val="16"/>
              </w:rPr>
              <w:t xml:space="preserve"> </w:t>
            </w:r>
            <w:r>
              <w:rPr>
                <w:sz w:val="14"/>
                <w:szCs w:val="14"/>
              </w:rPr>
              <w:t>(отдельные работы (услуги) выполняются с периодичностью установленной законодательством РФ*) и при необходимости</w:t>
              <w:br w:type="textWrapping"/>
              <w:t>внеочередные осмотры*</w:t>
            </w:r>
            <w:r>
              <w:rPr>
                <w:sz w:val="16"/>
                <w:szCs w:val="16"/>
              </w:rPr>
            </w:r>
          </w:p>
        </w:tc>
        <w:tc>
          <w:tcPr>
            <w:tcW w:w="851" w:type="dxa"/>
            <w:tmTcPr id="1757405527" protected="0"/>
          </w:tcPr>
          <w:p>
            <w:pPr>
              <w:pStyle w:val="para17"/>
              <w:rPr>
                <w:b/>
                <w:sz w:val="18"/>
                <w:szCs w:val="18"/>
              </w:rPr>
            </w:pPr>
            <w:r>
              <w:rPr>
                <w:b/>
                <w:sz w:val="18"/>
                <w:szCs w:val="18"/>
              </w:rPr>
              <w:t>0,36</w:t>
            </w:r>
          </w:p>
        </w:tc>
      </w:tr>
      <w:tr>
        <w:trPr>
          <w:tblHeader w:val="0"/>
          <w:cantSplit w:val="0"/>
          <w:trHeight w:val="2042" w:hRule="atLeast"/>
        </w:trPr>
        <w:tc>
          <w:tcPr>
            <w:tcW w:w="488" w:type="dxa"/>
            <w:vMerge w:val="restart"/>
            <w:tmTcPr id="1757405527" protected="0"/>
          </w:tcPr>
          <w:p>
            <w:pPr>
              <w:pStyle w:val="para17"/>
              <w:rPr>
                <w:b/>
                <w:sz w:val="18"/>
                <w:szCs w:val="18"/>
              </w:rPr>
            </w:pPr>
            <w:r>
              <w:rPr>
                <w:b/>
                <w:sz w:val="18"/>
                <w:szCs w:val="18"/>
              </w:rPr>
              <w:t>8.</w:t>
            </w:r>
          </w:p>
        </w:tc>
        <w:tc>
          <w:tcPr>
            <w:tcW w:w="7700" w:type="dxa"/>
            <w:tmTcPr id="1757405527" protected="0"/>
          </w:tcPr>
          <w:p>
            <w:pPr>
              <w:pStyle w:val="para17"/>
              <w:rPr>
                <w:b/>
                <w:sz w:val="18"/>
                <w:szCs w:val="18"/>
              </w:rPr>
            </w:pPr>
            <w:r>
              <w:rPr>
                <w:b/>
                <w:sz w:val="18"/>
                <w:szCs w:val="18"/>
              </w:rPr>
              <w:t xml:space="preserve">Работы, выполняемые в целях надлежащего содержания индивидуальных тепловых пунктов (ИТП) в МКД, в том числе: </w:t>
            </w:r>
            <w:r>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Pr>
                <w:b/>
                <w:sz w:val="18"/>
                <w:szCs w:val="18"/>
              </w:rPr>
              <w:t xml:space="preserve">                                                                                    </w:t>
            </w:r>
            <w:r>
              <w:rPr>
                <w:b/>
                <w:sz w:val="18"/>
                <w:szCs w:val="18"/>
              </w:rPr>
            </w:r>
          </w:p>
        </w:tc>
        <w:tc>
          <w:tcPr>
            <w:tcW w:w="1701" w:type="dxa"/>
            <w:tmTcPr id="1757405527" protected="0"/>
          </w:tcPr>
          <w:p>
            <w:pPr>
              <w:pStyle w:val="para17"/>
              <w:rPr>
                <w:sz w:val="18"/>
                <w:szCs w:val="18"/>
              </w:rPr>
            </w:pPr>
            <w:r>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tmTcPr id="1757405527" protected="0"/>
          </w:tcPr>
          <w:p>
            <w:pPr>
              <w:pStyle w:val="para17"/>
              <w:rPr>
                <w:b/>
                <w:sz w:val="18"/>
                <w:szCs w:val="18"/>
              </w:rPr>
            </w:pPr>
            <w:r>
              <w:rPr>
                <w:b/>
                <w:sz w:val="18"/>
                <w:szCs w:val="18"/>
              </w:rPr>
              <w:t>1,05</w:t>
            </w:r>
          </w:p>
        </w:tc>
      </w:tr>
      <w:tr>
        <w:trPr>
          <w:tblHeader w:val="0"/>
          <w:cantSplit w:val="0"/>
          <w:trHeight w:val="283" w:hRule="atLeast"/>
        </w:trPr>
        <w:tc>
          <w:tcPr>
            <w:tcW w:w="488" w:type="dxa"/>
            <w:vMerge/>
            <w:tmTcPr id="1757405527" protected="0"/>
          </w:tcPr>
          <w:p/>
        </w:tc>
        <w:tc>
          <w:tcPr>
            <w:tcW w:w="7700" w:type="dxa"/>
            <w:tmTcPr id="1757405527" protected="0"/>
          </w:tcPr>
          <w:p>
            <w:pPr>
              <w:pStyle w:val="para17"/>
              <w:rPr>
                <w:sz w:val="18"/>
                <w:szCs w:val="18"/>
              </w:rPr>
            </w:pPr>
            <w:r>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tmTcPr id="1757405527" protected="0"/>
          </w:tcPr>
          <w:p>
            <w:pPr>
              <w:pStyle w:val="para17"/>
              <w:rPr>
                <w:sz w:val="18"/>
                <w:szCs w:val="18"/>
              </w:rPr>
            </w:pPr>
            <w:r>
              <w:rPr>
                <w:sz w:val="18"/>
                <w:szCs w:val="18"/>
              </w:rPr>
              <w:t>По графику</w:t>
            </w:r>
          </w:p>
        </w:tc>
        <w:tc>
          <w:tcPr>
            <w:tcW w:w="851" w:type="dxa"/>
            <w:vMerge/>
            <w:tmTcPr id="1757405527" protected="0"/>
          </w:tcPr>
          <w:p/>
        </w:tc>
      </w:tr>
      <w:tr>
        <w:trPr>
          <w:tblHeader w:val="0"/>
          <w:cantSplit w:val="0"/>
          <w:trHeight w:val="70" w:hRule="atLeast"/>
        </w:trPr>
        <w:tc>
          <w:tcPr>
            <w:tcW w:w="488" w:type="dxa"/>
            <w:tmTcPr id="1757405527" protected="0"/>
          </w:tcPr>
          <w:p>
            <w:pPr>
              <w:pStyle w:val="para17"/>
              <w:rPr>
                <w:b/>
                <w:sz w:val="18"/>
                <w:szCs w:val="18"/>
              </w:rPr>
            </w:pPr>
            <w:r>
              <w:rPr>
                <w:b/>
                <w:sz w:val="18"/>
                <w:szCs w:val="18"/>
              </w:rPr>
              <w:t>9.</w:t>
            </w:r>
          </w:p>
        </w:tc>
        <w:tc>
          <w:tcPr>
            <w:tcW w:w="7700" w:type="dxa"/>
            <w:tmTcPr id="1757405527" protected="0"/>
          </w:tcPr>
          <w:p>
            <w:pPr>
              <w:pStyle w:val="para17"/>
              <w:rPr>
                <w:b/>
                <w:sz w:val="18"/>
                <w:szCs w:val="18"/>
              </w:rPr>
            </w:pPr>
            <w:r>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Pr>
                <w:sz w:val="18"/>
                <w:szCs w:val="18"/>
              </w:rPr>
              <w:t>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r>
              <w:rPr>
                <w:b/>
                <w:sz w:val="18"/>
                <w:szCs w:val="18"/>
              </w:rPr>
            </w:r>
          </w:p>
        </w:tc>
        <w:tc>
          <w:tcPr>
            <w:tcW w:w="1701" w:type="dxa"/>
            <w:tmTcPr id="1757405527" protected="0"/>
          </w:tcPr>
          <w:p>
            <w:pPr>
              <w:pStyle w:val="para17"/>
              <w:rPr>
                <w:sz w:val="18"/>
                <w:szCs w:val="18"/>
              </w:rPr>
            </w:pPr>
            <w:r>
              <w:rPr>
                <w:sz w:val="18"/>
                <w:szCs w:val="18"/>
              </w:rPr>
              <w:t>12 раз в год (в месяц выполняются работы (услуги) с периодичностью установленной законодательством РФ*)</w:t>
              <w:br w:type="textWrapping"/>
            </w:r>
          </w:p>
        </w:tc>
        <w:tc>
          <w:tcPr>
            <w:tcW w:w="851" w:type="dxa"/>
            <w:tmTcPr id="1757405527" protected="0"/>
          </w:tcPr>
          <w:p>
            <w:pPr>
              <w:pStyle w:val="para17"/>
              <w:rPr>
                <w:b/>
                <w:sz w:val="18"/>
                <w:szCs w:val="18"/>
              </w:rPr>
            </w:pPr>
            <w:r>
              <w:rPr>
                <w:b/>
                <w:sz w:val="18"/>
                <w:szCs w:val="18"/>
              </w:rPr>
              <w:t>3,50</w:t>
            </w:r>
          </w:p>
        </w:tc>
      </w:tr>
      <w:tr>
        <w:trPr>
          <w:tblHeader w:val="0"/>
          <w:cantSplit w:val="0"/>
          <w:trHeight w:val="70" w:hRule="atLeast"/>
        </w:trPr>
        <w:tc>
          <w:tcPr>
            <w:tcW w:w="488" w:type="dxa"/>
            <w:vMerge w:val="restart"/>
            <w:tmTcPr id="1757405527" protected="0"/>
          </w:tcPr>
          <w:p>
            <w:pPr>
              <w:pStyle w:val="para17"/>
              <w:rPr>
                <w:b/>
                <w:sz w:val="18"/>
                <w:szCs w:val="18"/>
              </w:rPr>
            </w:pPr>
            <w:r>
              <w:rPr>
                <w:b/>
                <w:sz w:val="18"/>
                <w:szCs w:val="18"/>
              </w:rPr>
              <w:t>10.</w:t>
            </w:r>
          </w:p>
        </w:tc>
        <w:tc>
          <w:tcPr>
            <w:tcW w:w="7700" w:type="dxa"/>
            <w:tmTcPr id="1757405527" protected="0"/>
          </w:tcPr>
          <w:p>
            <w:pPr>
              <w:pStyle w:val="para17"/>
              <w:rPr>
                <w:b/>
                <w:sz w:val="18"/>
                <w:szCs w:val="18"/>
              </w:rPr>
            </w:pPr>
            <w:r>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br w:type="textWrapping"/>
            </w:r>
            <w:r>
              <w:rPr>
                <w:sz w:val="18"/>
                <w:szCs w:val="18"/>
              </w:rPr>
              <w:t>Удаление воздуха из системы отопления. При выявлении повреждений и нарушений - разработка плана восстановительных работ (при необходимости), проведение восстановительных работ.</w:t>
            </w:r>
            <w:r>
              <w:rPr>
                <w:b/>
                <w:sz w:val="18"/>
                <w:szCs w:val="18"/>
              </w:rPr>
            </w:r>
          </w:p>
        </w:tc>
        <w:tc>
          <w:tcPr>
            <w:tcW w:w="1701" w:type="dxa"/>
            <w:tmTcPr id="1757405527" protected="0"/>
          </w:tcPr>
          <w:p>
            <w:pPr>
              <w:pStyle w:val="para17"/>
              <w:rPr>
                <w:sz w:val="16"/>
                <w:szCs w:val="16"/>
              </w:rPr>
            </w:pPr>
            <w:r>
              <w:rPr>
                <w:sz w:val="18"/>
                <w:szCs w:val="18"/>
              </w:rPr>
              <w:t xml:space="preserve">12 раз в год </w:t>
            </w:r>
            <w:r>
              <w:rPr>
                <w:sz w:val="14"/>
                <w:szCs w:val="14"/>
              </w:rPr>
              <w:t>(в месяц</w:t>
            </w:r>
            <w:r>
              <w:rPr>
                <w:sz w:val="18"/>
                <w:szCs w:val="18"/>
              </w:rPr>
              <w:t xml:space="preserve"> </w:t>
            </w:r>
            <w:r>
              <w:rPr>
                <w:sz w:val="14"/>
                <w:szCs w:val="14"/>
              </w:rPr>
              <w:t>выполняются работы (услуги) с периодичностью установленной законодательством РФ*)</w:t>
            </w:r>
            <w:r>
              <w:rPr>
                <w:sz w:val="16"/>
                <w:szCs w:val="16"/>
              </w:rPr>
            </w:r>
          </w:p>
        </w:tc>
        <w:tc>
          <w:tcPr>
            <w:tcW w:w="851" w:type="dxa"/>
            <w:vMerge w:val="restart"/>
            <w:tmTcPr id="1757405527" protected="0"/>
          </w:tcPr>
          <w:p>
            <w:pPr>
              <w:pStyle w:val="para17"/>
              <w:rPr>
                <w:b/>
                <w:sz w:val="18"/>
                <w:szCs w:val="18"/>
              </w:rPr>
            </w:pPr>
            <w:r>
              <w:rPr>
                <w:b/>
                <w:sz w:val="18"/>
                <w:szCs w:val="18"/>
              </w:rPr>
              <w:t>6,29</w:t>
            </w:r>
          </w:p>
        </w:tc>
      </w:tr>
      <w:tr>
        <w:trPr>
          <w:tblHeader w:val="0"/>
          <w:cantSplit w:val="0"/>
          <w:trHeight w:val="70" w:hRule="atLeast"/>
        </w:trPr>
        <w:tc>
          <w:tcPr>
            <w:tcW w:w="488" w:type="dxa"/>
            <w:vMerge/>
            <w:tmTcPr id="1757405527" protected="0"/>
          </w:tcPr>
          <w:p/>
        </w:tc>
        <w:tc>
          <w:tcPr>
            <w:tcW w:w="7700" w:type="dxa"/>
            <w:tmTcPr id="1757405527" protected="0"/>
          </w:tcPr>
          <w:p>
            <w:pPr>
              <w:pStyle w:val="para17"/>
              <w:rPr>
                <w:sz w:val="18"/>
                <w:szCs w:val="18"/>
              </w:rPr>
            </w:pPr>
            <w:r>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tmTcPr id="1757405527" protected="0"/>
          </w:tcPr>
          <w:p>
            <w:pPr>
              <w:pStyle w:val="para17"/>
              <w:rPr>
                <w:sz w:val="18"/>
                <w:szCs w:val="18"/>
              </w:rPr>
            </w:pPr>
            <w:r>
              <w:rPr>
                <w:sz w:val="18"/>
                <w:szCs w:val="18"/>
              </w:rPr>
              <w:t>По графику</w:t>
            </w:r>
          </w:p>
        </w:tc>
        <w:tc>
          <w:tcPr>
            <w:tcW w:w="851" w:type="dxa"/>
            <w:vMerge/>
            <w:tmTcPr id="1757405527" protected="0"/>
          </w:tcPr>
          <w:p/>
        </w:tc>
      </w:tr>
      <w:tr>
        <w:trPr>
          <w:tblHeader w:val="0"/>
          <w:cantSplit w:val="0"/>
          <w:trHeight w:val="70" w:hRule="atLeast"/>
        </w:trPr>
        <w:tc>
          <w:tcPr>
            <w:tcW w:w="9889" w:type="dxa"/>
            <w:gridSpan w:val="3"/>
            <w:tmTcPr id="1757405527" protected="0"/>
          </w:tcPr>
          <w:p>
            <w:pPr>
              <w:pStyle w:val="para17"/>
              <w:rPr>
                <w:sz w:val="18"/>
                <w:szCs w:val="18"/>
              </w:rPr>
            </w:pPr>
            <w:r>
              <w:rPr>
                <w:sz w:val="18"/>
                <w:szCs w:val="18"/>
              </w:rPr>
              <w:t>Итого содержание внутридомовых инженерных систем ХВС, ГВС, отопления, водоотведения многоквартирного дома</w:t>
            </w:r>
          </w:p>
        </w:tc>
        <w:tc>
          <w:tcPr>
            <w:tcW w:w="851" w:type="dxa"/>
            <w:tmTcPr id="1757405527" protected="0"/>
          </w:tcPr>
          <w:p>
            <w:pPr>
              <w:pStyle w:val="para17"/>
              <w:rPr>
                <w:b/>
                <w:sz w:val="18"/>
                <w:szCs w:val="18"/>
              </w:rPr>
            </w:pPr>
            <w:r>
              <w:rPr>
                <w:b/>
                <w:sz w:val="18"/>
                <w:szCs w:val="18"/>
              </w:rPr>
              <w:t>11,20</w:t>
            </w:r>
          </w:p>
        </w:tc>
      </w:tr>
      <w:tr>
        <w:trPr>
          <w:tblHeader w:val="0"/>
          <w:cantSplit w:val="0"/>
          <w:trHeight w:val="70" w:hRule="atLeast"/>
        </w:trPr>
        <w:tc>
          <w:tcPr>
            <w:tcW w:w="488" w:type="dxa"/>
            <w:tmTcPr id="1757405527" protected="0"/>
          </w:tcPr>
          <w:p>
            <w:pPr>
              <w:pStyle w:val="para17"/>
              <w:rPr>
                <w:b/>
                <w:sz w:val="18"/>
                <w:szCs w:val="18"/>
              </w:rPr>
            </w:pPr>
            <w:r>
              <w:rPr>
                <w:b/>
                <w:sz w:val="18"/>
                <w:szCs w:val="18"/>
              </w:rPr>
              <w:t>11.</w:t>
            </w:r>
          </w:p>
        </w:tc>
        <w:tc>
          <w:tcPr>
            <w:tcW w:w="7700" w:type="dxa"/>
            <w:tmTcPr id="1757405527" protected="0"/>
          </w:tcPr>
          <w:p>
            <w:pPr>
              <w:pStyle w:val="para17"/>
              <w:rPr>
                <w:sz w:val="18"/>
                <w:szCs w:val="18"/>
              </w:rPr>
            </w:pPr>
            <w:r>
              <w:rPr>
                <w:b/>
                <w:sz w:val="18"/>
                <w:szCs w:val="18"/>
              </w:rPr>
              <w:t xml:space="preserve">Работы, выполняемые в целях устранений аварий на внутридомовых инженерных системах в многоквартирном доме, </w:t>
            </w:r>
            <w:r>
              <w:rPr>
                <w:sz w:val="18"/>
                <w:szCs w:val="18"/>
              </w:rPr>
              <w:t>в соответствии с установленными предельными сроками.</w:t>
            </w:r>
          </w:p>
        </w:tc>
        <w:tc>
          <w:tcPr>
            <w:tcW w:w="1701" w:type="dxa"/>
            <w:tmTcPr id="1757405527" protected="0"/>
          </w:tcPr>
          <w:p>
            <w:pPr>
              <w:pStyle w:val="para17"/>
              <w:rPr>
                <w:sz w:val="18"/>
                <w:szCs w:val="18"/>
              </w:rPr>
            </w:pPr>
            <w:r>
              <w:rPr>
                <w:sz w:val="18"/>
                <w:szCs w:val="18"/>
              </w:rPr>
              <w:t>Круглосуточно</w:t>
            </w:r>
          </w:p>
        </w:tc>
        <w:tc>
          <w:tcPr>
            <w:tcW w:w="851" w:type="dxa"/>
            <w:tmTcPr id="1757405527" protected="0"/>
          </w:tcPr>
          <w:p>
            <w:pPr>
              <w:pStyle w:val="para17"/>
              <w:rPr>
                <w:b/>
                <w:sz w:val="18"/>
                <w:szCs w:val="18"/>
              </w:rPr>
            </w:pPr>
            <w:r>
              <w:rPr>
                <w:b/>
                <w:sz w:val="18"/>
                <w:szCs w:val="18"/>
              </w:rPr>
              <w:t>3,25</w:t>
            </w:r>
          </w:p>
        </w:tc>
      </w:tr>
      <w:tr>
        <w:trPr>
          <w:tblHeader w:val="0"/>
          <w:cantSplit w:val="0"/>
          <w:trHeight w:val="283" w:hRule="atLeast"/>
        </w:trPr>
        <w:tc>
          <w:tcPr>
            <w:tcW w:w="488" w:type="dxa"/>
            <w:tmTcPr id="1757405527" protected="0"/>
          </w:tcPr>
          <w:p>
            <w:pPr>
              <w:pStyle w:val="para17"/>
              <w:rPr>
                <w:b/>
                <w:sz w:val="18"/>
                <w:szCs w:val="18"/>
              </w:rPr>
            </w:pPr>
            <w:r>
              <w:rPr>
                <w:b/>
                <w:sz w:val="18"/>
                <w:szCs w:val="18"/>
              </w:rPr>
              <w:t>12.</w:t>
            </w:r>
          </w:p>
        </w:tc>
        <w:tc>
          <w:tcPr>
            <w:tcW w:w="7700" w:type="dxa"/>
            <w:tmTcPr id="1757405527" protected="0"/>
          </w:tcPr>
          <w:p>
            <w:pPr>
              <w:pStyle w:val="para17"/>
              <w:rPr>
                <w:b/>
                <w:sz w:val="18"/>
                <w:szCs w:val="18"/>
              </w:rPr>
            </w:pPr>
            <w:r>
              <w:rPr>
                <w:b/>
                <w:sz w:val="18"/>
                <w:szCs w:val="18"/>
              </w:rPr>
              <w:t xml:space="preserve">Работы, выполняемые в целях надлежащего содержания систем дымоудаления   МКД, в том числе:  </w:t>
            </w:r>
            <w:r>
              <w:rPr>
                <w:sz w:val="18"/>
                <w:szCs w:val="18"/>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 При выявлении повреждений и нарушений - разработка плана восстановительных работ (при необходимости), проведение восстановительных работ</w:t>
            </w:r>
            <w:r>
              <w:rPr>
                <w:b/>
                <w:sz w:val="18"/>
                <w:szCs w:val="18"/>
              </w:rPr>
            </w:r>
          </w:p>
        </w:tc>
        <w:tc>
          <w:tcPr>
            <w:tcW w:w="1701" w:type="dxa"/>
            <w:tmTcPr id="1757405527" protected="0"/>
          </w:tcPr>
          <w:p>
            <w:pPr>
              <w:pStyle w:val="para17"/>
              <w:rPr>
                <w:sz w:val="18"/>
                <w:szCs w:val="18"/>
              </w:rPr>
            </w:pPr>
            <w:r>
              <w:rPr>
                <w:sz w:val="18"/>
                <w:szCs w:val="18"/>
              </w:rPr>
              <w:t>Планово - 2 раза в год и при необходимости</w:t>
              <w:br w:type="textWrapping"/>
              <w:t>внеочередные осмотры*</w:t>
            </w:r>
          </w:p>
        </w:tc>
        <w:tc>
          <w:tcPr>
            <w:tcW w:w="851" w:type="dxa"/>
            <w:tmTcPr id="1757405527" protected="0"/>
          </w:tcPr>
          <w:p>
            <w:pPr>
              <w:pStyle w:val="para17"/>
              <w:rPr>
                <w:b/>
                <w:sz w:val="18"/>
                <w:szCs w:val="18"/>
              </w:rPr>
            </w:pPr>
            <w:r>
              <w:rPr>
                <w:b/>
                <w:sz w:val="18"/>
                <w:szCs w:val="18"/>
              </w:rPr>
              <w:t>0,00</w:t>
            </w:r>
          </w:p>
        </w:tc>
      </w:tr>
      <w:tr>
        <w:trPr>
          <w:tblHeader w:val="0"/>
          <w:cantSplit w:val="0"/>
          <w:trHeight w:val="2396" w:hRule="atLeast"/>
        </w:trPr>
        <w:tc>
          <w:tcPr>
            <w:tcW w:w="488" w:type="dxa"/>
            <w:vMerge w:val="restart"/>
            <w:tmTcPr id="1757405527" protected="0"/>
          </w:tcPr>
          <w:p>
            <w:pPr>
              <w:pStyle w:val="para17"/>
              <w:rPr>
                <w:b/>
                <w:sz w:val="18"/>
                <w:szCs w:val="18"/>
              </w:rPr>
            </w:pPr>
            <w:r>
              <w:rPr>
                <w:b/>
                <w:sz w:val="18"/>
                <w:szCs w:val="18"/>
              </w:rPr>
              <w:t>13.</w:t>
            </w:r>
          </w:p>
        </w:tc>
        <w:tc>
          <w:tcPr>
            <w:tcW w:w="7700" w:type="dxa"/>
            <w:tmTcPr id="1757405527" protected="0"/>
          </w:tcPr>
          <w:p>
            <w:pPr>
              <w:pStyle w:val="para17"/>
              <w:rPr>
                <w:b/>
                <w:sz w:val="18"/>
                <w:szCs w:val="18"/>
              </w:rPr>
            </w:pPr>
            <w:r>
              <w:rPr>
                <w:b/>
                <w:sz w:val="18"/>
                <w:szCs w:val="18"/>
              </w:rPr>
              <w:t xml:space="preserve">Работы, выполняемые в целях надлежащего содержания электрооборудования в МКД, в том числе: </w:t>
            </w:r>
            <w:r>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r>
              <w:rPr>
                <w:b/>
                <w:sz w:val="18"/>
                <w:szCs w:val="18"/>
              </w:rPr>
            </w:r>
          </w:p>
        </w:tc>
        <w:tc>
          <w:tcPr>
            <w:tcW w:w="1701" w:type="dxa"/>
            <w:tmTcPr id="1757405527" protected="0"/>
          </w:tcPr>
          <w:p>
            <w:pPr>
              <w:pStyle w:val="para17"/>
              <w:rPr>
                <w:sz w:val="18"/>
                <w:szCs w:val="18"/>
              </w:rPr>
            </w:pPr>
            <w:r>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tmTcPr id="1757405527" protected="0"/>
          </w:tcPr>
          <w:p>
            <w:pPr>
              <w:pStyle w:val="para17"/>
              <w:rPr>
                <w:b/>
                <w:sz w:val="18"/>
                <w:szCs w:val="18"/>
              </w:rPr>
            </w:pPr>
            <w:r>
              <w:rPr>
                <w:b/>
                <w:sz w:val="18"/>
                <w:szCs w:val="18"/>
              </w:rPr>
              <w:t>1,74</w:t>
            </w:r>
          </w:p>
        </w:tc>
      </w:tr>
      <w:tr>
        <w:trPr>
          <w:tblHeader w:val="0"/>
          <w:cantSplit w:val="0"/>
          <w:trHeight w:val="70" w:hRule="atLeast"/>
        </w:trPr>
        <w:tc>
          <w:tcPr>
            <w:tcW w:w="488" w:type="dxa"/>
            <w:vMerge/>
            <w:tmTcPr id="1757405527" protected="0"/>
          </w:tcPr>
          <w:p/>
        </w:tc>
        <w:tc>
          <w:tcPr>
            <w:tcW w:w="7700" w:type="dxa"/>
            <w:tmTcPr id="1757405527" protected="0"/>
          </w:tcPr>
          <w:p>
            <w:pPr>
              <w:pStyle w:val="para17"/>
              <w:rPr>
                <w:sz w:val="18"/>
                <w:szCs w:val="18"/>
              </w:rPr>
            </w:pPr>
            <w:r>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tmTcPr id="1757405527" protected="0"/>
          </w:tcPr>
          <w:p>
            <w:pPr>
              <w:pStyle w:val="para17"/>
              <w:rPr>
                <w:sz w:val="18"/>
                <w:szCs w:val="18"/>
              </w:rPr>
            </w:pPr>
            <w:r>
              <w:rPr>
                <w:sz w:val="18"/>
                <w:szCs w:val="18"/>
              </w:rPr>
              <w:t>По графику</w:t>
            </w:r>
          </w:p>
        </w:tc>
        <w:tc>
          <w:tcPr>
            <w:tcW w:w="851" w:type="dxa"/>
            <w:vMerge/>
            <w:tmTcPr id="1757405527" protected="0"/>
          </w:tcPr>
          <w:p/>
        </w:tc>
      </w:tr>
      <w:tr>
        <w:trPr>
          <w:tblHeader w:val="0"/>
          <w:cantSplit w:val="0"/>
          <w:trHeight w:val="106" w:hRule="atLeast"/>
        </w:trPr>
        <w:tc>
          <w:tcPr>
            <w:tcW w:w="488" w:type="dxa"/>
            <w:vMerge/>
            <w:tmTcPr id="1757405527" protected="0"/>
          </w:tcPr>
          <w:p/>
        </w:tc>
        <w:tc>
          <w:tcPr>
            <w:tcW w:w="7700" w:type="dxa"/>
            <w:tmTcPr id="1757405527" protected="0"/>
          </w:tcPr>
          <w:p>
            <w:pPr>
              <w:pStyle w:val="para17"/>
              <w:rPr>
                <w:b/>
                <w:sz w:val="18"/>
                <w:szCs w:val="18"/>
              </w:rPr>
            </w:pPr>
            <w:r>
              <w:rPr>
                <w:b/>
                <w:sz w:val="18"/>
                <w:szCs w:val="18"/>
              </w:rPr>
              <w:t xml:space="preserve">Работы по обеспечению требований пожарной безопасности, в том числе: </w:t>
            </w:r>
            <w:r>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r>
              <w:rPr>
                <w:b/>
                <w:sz w:val="18"/>
                <w:szCs w:val="18"/>
              </w:rPr>
            </w:r>
          </w:p>
        </w:tc>
        <w:tc>
          <w:tcPr>
            <w:tcW w:w="1701" w:type="dxa"/>
            <w:tmTcPr id="1757405527" protected="0"/>
          </w:tcPr>
          <w:p>
            <w:pPr>
              <w:pStyle w:val="para17"/>
              <w:rPr>
                <w:sz w:val="16"/>
                <w:szCs w:val="16"/>
              </w:rPr>
            </w:pPr>
            <w:r>
              <w:rPr>
                <w:sz w:val="16"/>
                <w:szCs w:val="16"/>
              </w:rPr>
              <w:t>Планово - 2 раза в год и при</w:t>
            </w:r>
          </w:p>
          <w:p>
            <w:pPr>
              <w:pStyle w:val="para17"/>
              <w:rPr>
                <w:sz w:val="16"/>
                <w:szCs w:val="16"/>
              </w:rPr>
            </w:pPr>
            <w:r>
              <w:rPr>
                <w:sz w:val="16"/>
                <w:szCs w:val="16"/>
              </w:rPr>
              <w:t>необходимости</w:t>
              <w:br w:type="textWrapping"/>
              <w:t>внеочередные осмотры*</w:t>
            </w:r>
          </w:p>
        </w:tc>
        <w:tc>
          <w:tcPr>
            <w:tcW w:w="851" w:type="dxa"/>
            <w:tmTcPr id="1757405527" protected="0"/>
          </w:tcPr>
          <w:p>
            <w:pPr>
              <w:pStyle w:val="para17"/>
              <w:rPr>
                <w:b/>
                <w:sz w:val="18"/>
                <w:szCs w:val="18"/>
              </w:rPr>
            </w:pPr>
            <w:r>
              <w:rPr>
                <w:b/>
                <w:sz w:val="18"/>
                <w:szCs w:val="18"/>
              </w:rPr>
              <w:t>0,01</w:t>
            </w:r>
          </w:p>
        </w:tc>
      </w:tr>
      <w:tr>
        <w:trPr>
          <w:tblHeader w:val="0"/>
          <w:cantSplit w:val="0"/>
          <w:trHeight w:val="70" w:hRule="atLeast"/>
        </w:trPr>
        <w:tc>
          <w:tcPr>
            <w:tcW w:w="9889" w:type="dxa"/>
            <w:gridSpan w:val="3"/>
            <w:tmTcPr id="1757405527" protected="0"/>
          </w:tcPr>
          <w:p>
            <w:pPr>
              <w:pStyle w:val="para17"/>
              <w:rPr>
                <w:sz w:val="18"/>
                <w:szCs w:val="18"/>
              </w:rPr>
            </w:pPr>
            <w:r>
              <w:rPr>
                <w:sz w:val="18"/>
                <w:szCs w:val="18"/>
              </w:rPr>
              <w:t>Итого содержание внутридомовых систем электроснабжения МКД</w:t>
            </w:r>
          </w:p>
        </w:tc>
        <w:tc>
          <w:tcPr>
            <w:tcW w:w="851" w:type="dxa"/>
            <w:tmTcPr id="1757405527" protected="0"/>
          </w:tcPr>
          <w:p>
            <w:pPr>
              <w:pStyle w:val="para17"/>
              <w:rPr>
                <w:b/>
                <w:sz w:val="18"/>
                <w:szCs w:val="18"/>
              </w:rPr>
            </w:pPr>
            <w:r>
              <w:rPr>
                <w:b/>
                <w:sz w:val="18"/>
                <w:szCs w:val="18"/>
              </w:rPr>
              <w:t>1,75</w:t>
            </w:r>
          </w:p>
        </w:tc>
      </w:tr>
      <w:tr>
        <w:trPr>
          <w:tblHeader w:val="0"/>
          <w:cantSplit w:val="0"/>
          <w:trHeight w:val="70" w:hRule="atLeast"/>
        </w:trPr>
        <w:tc>
          <w:tcPr>
            <w:tcW w:w="10740" w:type="dxa"/>
            <w:gridSpan w:val="4"/>
            <w:tmTcPr id="1757405527" protected="0"/>
          </w:tcPr>
          <w:p>
            <w:pPr>
              <w:pStyle w:val="para17"/>
              <w:rPr>
                <w:b/>
                <w:sz w:val="18"/>
                <w:szCs w:val="18"/>
              </w:rPr>
            </w:pPr>
            <w:r>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r>
      <w:tr>
        <w:trPr>
          <w:tblHeader w:val="0"/>
          <w:cantSplit w:val="0"/>
          <w:trHeight w:val="1498" w:hRule="atLeast"/>
        </w:trPr>
        <w:tc>
          <w:tcPr>
            <w:tcW w:w="488" w:type="dxa"/>
            <w:tmTcPr id="1757405527" protected="0"/>
          </w:tcPr>
          <w:p>
            <w:pPr>
              <w:pStyle w:val="para17"/>
              <w:rPr>
                <w:b/>
                <w:sz w:val="18"/>
                <w:szCs w:val="18"/>
              </w:rPr>
            </w:pPr>
            <w:r>
              <w:rPr>
                <w:b/>
                <w:sz w:val="18"/>
                <w:szCs w:val="18"/>
              </w:rPr>
              <w:t>14.</w:t>
            </w:r>
          </w:p>
        </w:tc>
        <w:tc>
          <w:tcPr>
            <w:tcW w:w="7700" w:type="dxa"/>
            <w:tmTcPr id="1757405527" protected="0"/>
          </w:tcPr>
          <w:p>
            <w:pPr>
              <w:pStyle w:val="para17"/>
              <w:rPr>
                <w:sz w:val="18"/>
                <w:szCs w:val="18"/>
              </w:rPr>
            </w:pPr>
            <w:r>
              <w:rPr>
                <w:b/>
                <w:sz w:val="18"/>
                <w:szCs w:val="18"/>
              </w:rPr>
              <w:t>Работы, выполняемые в целях надлежащего содержания и ремонта лифта (лифтов) в МКД, в том числе:</w:t>
            </w:r>
            <w:r>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Pr>
                <w:sz w:val="18"/>
                <w:szCs w:val="18"/>
              </w:rPr>
              <w:t xml:space="preserve">                           </w:t>
            </w:r>
            <w:r>
              <w:rPr>
                <w:sz w:val="18"/>
                <w:szCs w:val="18"/>
              </w:rPr>
            </w:r>
          </w:p>
        </w:tc>
        <w:tc>
          <w:tcPr>
            <w:tcW w:w="1701" w:type="dxa"/>
            <w:tmTcPr id="1757405527" protected="0"/>
          </w:tcPr>
          <w:p>
            <w:pPr>
              <w:pStyle w:val="para17"/>
              <w:rPr>
                <w:sz w:val="18"/>
                <w:szCs w:val="18"/>
              </w:rPr>
            </w:pPr>
            <w:r>
              <w:rPr>
                <w:sz w:val="18"/>
                <w:szCs w:val="18"/>
              </w:rPr>
              <w:t>12 раз в год (в месяц выполня-ются работы (услуги) с периодичностью установленной законодательством РФ*)</w:t>
            </w:r>
          </w:p>
        </w:tc>
        <w:tc>
          <w:tcPr>
            <w:tcW w:w="851" w:type="dxa"/>
            <w:tmTcPr id="1757405527" protected="0"/>
          </w:tcPr>
          <w:p>
            <w:pPr>
              <w:pStyle w:val="para17"/>
              <w:rPr>
                <w:b/>
                <w:sz w:val="18"/>
                <w:szCs w:val="18"/>
              </w:rPr>
            </w:pPr>
            <w:r>
              <w:rPr>
                <w:b/>
                <w:sz w:val="18"/>
                <w:szCs w:val="18"/>
              </w:rPr>
              <w:t>0,00</w:t>
            </w:r>
          </w:p>
        </w:tc>
      </w:tr>
      <w:tr>
        <w:trPr>
          <w:tblHeader w:val="0"/>
          <w:cantSplit w:val="0"/>
          <w:trHeight w:val="1275" w:hRule="atLeast"/>
        </w:trPr>
        <w:tc>
          <w:tcPr>
            <w:tcW w:w="488" w:type="dxa"/>
            <w:tmTcPr id="1757405527" protected="0"/>
          </w:tcPr>
          <w:p>
            <w:pPr>
              <w:pStyle w:val="para17"/>
              <w:rPr>
                <w:b/>
                <w:sz w:val="18"/>
                <w:szCs w:val="18"/>
              </w:rPr>
            </w:pPr>
            <w:r>
              <w:rPr>
                <w:b/>
                <w:sz w:val="18"/>
                <w:szCs w:val="18"/>
              </w:rPr>
              <w:t>15.</w:t>
            </w:r>
          </w:p>
        </w:tc>
        <w:tc>
          <w:tcPr>
            <w:tcW w:w="7700" w:type="dxa"/>
            <w:tmTcPr id="1757405527" protected="0"/>
          </w:tcPr>
          <w:p>
            <w:pPr>
              <w:pStyle w:val="para17"/>
              <w:rPr>
                <w:sz w:val="18"/>
                <w:szCs w:val="18"/>
              </w:rPr>
            </w:pPr>
            <w:r>
              <w:rPr>
                <w:b/>
                <w:sz w:val="18"/>
                <w:szCs w:val="18"/>
              </w:rPr>
              <w:t xml:space="preserve">Содержание мусоропроводов, в том числе: </w:t>
            </w:r>
            <w:r>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tmTcPr id="1757405527" protected="0"/>
          </w:tcPr>
          <w:p>
            <w:pPr>
              <w:pStyle w:val="para17"/>
              <w:rPr>
                <w:sz w:val="18"/>
                <w:szCs w:val="18"/>
              </w:rPr>
            </w:pPr>
            <w:r>
              <w:rPr>
                <w:sz w:val="18"/>
                <w:szCs w:val="18"/>
              </w:rPr>
              <w:t xml:space="preserve">12 раз в год </w:t>
            </w:r>
            <w:r>
              <w:rPr>
                <w:sz w:val="16"/>
                <w:szCs w:val="16"/>
              </w:rPr>
              <w:t>(в месяц выполняются работы (услуги) с периодичностью установленной законодательством РФ*)</w:t>
            </w:r>
            <w:r>
              <w:rPr>
                <w:sz w:val="18"/>
                <w:szCs w:val="18"/>
              </w:rPr>
            </w:r>
          </w:p>
        </w:tc>
        <w:tc>
          <w:tcPr>
            <w:tcW w:w="851" w:type="dxa"/>
            <w:tmTcPr id="1757405527" protected="0"/>
          </w:tcPr>
          <w:p>
            <w:pPr>
              <w:pStyle w:val="para17"/>
              <w:rPr>
                <w:b/>
                <w:sz w:val="18"/>
                <w:szCs w:val="18"/>
              </w:rPr>
            </w:pPr>
            <w:r>
              <w:rPr>
                <w:b/>
                <w:sz w:val="18"/>
                <w:szCs w:val="18"/>
              </w:rPr>
              <w:t>0,00</w:t>
            </w:r>
          </w:p>
        </w:tc>
      </w:tr>
      <w:tr>
        <w:trPr>
          <w:tblHeader w:val="0"/>
          <w:cantSplit w:val="0"/>
          <w:trHeight w:val="141" w:hRule="atLeast"/>
        </w:trPr>
        <w:tc>
          <w:tcPr>
            <w:tcW w:w="10740" w:type="dxa"/>
            <w:gridSpan w:val="4"/>
            <w:tmTcPr id="1757405527" protected="0"/>
          </w:tcPr>
          <w:p>
            <w:pPr>
              <w:pStyle w:val="para17"/>
              <w:rPr>
                <w:b/>
                <w:sz w:val="18"/>
                <w:szCs w:val="18"/>
              </w:rPr>
            </w:pPr>
            <w:r>
              <w:rPr>
                <w:b/>
                <w:sz w:val="18"/>
                <w:szCs w:val="18"/>
              </w:rPr>
              <w:t>Работы и услуги по содержанию иного общего имущества в многоквартирном доме</w:t>
            </w:r>
          </w:p>
        </w:tc>
      </w:tr>
      <w:tr>
        <w:trPr>
          <w:tblHeader w:val="0"/>
          <w:cantSplit w:val="0"/>
          <w:trHeight w:val="70" w:hRule="atLeast"/>
        </w:trPr>
        <w:tc>
          <w:tcPr>
            <w:tcW w:w="488" w:type="dxa"/>
            <w:vMerge w:val="restart"/>
            <w:tmTcPr id="1757405527" protected="0"/>
          </w:tcPr>
          <w:p>
            <w:pPr>
              <w:pStyle w:val="para17"/>
              <w:rPr>
                <w:b/>
                <w:sz w:val="18"/>
                <w:szCs w:val="18"/>
              </w:rPr>
            </w:pPr>
            <w:r>
              <w:rPr>
                <w:b/>
                <w:sz w:val="18"/>
                <w:szCs w:val="18"/>
              </w:rPr>
              <w:t>16.</w:t>
            </w:r>
          </w:p>
        </w:tc>
        <w:tc>
          <w:tcPr>
            <w:tcW w:w="7700" w:type="dxa"/>
            <w:tmTcPr id="1757405527" protected="0"/>
          </w:tcPr>
          <w:p>
            <w:pPr>
              <w:pStyle w:val="para17"/>
              <w:rPr>
                <w:b/>
                <w:sz w:val="18"/>
                <w:szCs w:val="18"/>
              </w:rPr>
            </w:pPr>
            <w:r>
              <w:rPr>
                <w:b/>
                <w:sz w:val="18"/>
                <w:szCs w:val="18"/>
              </w:rPr>
              <w:t xml:space="preserve">Работы по содержанию придомовой территории МКД, в том числе: </w:t>
              <w:br w:type="textWrapping"/>
            </w:r>
            <w:r>
              <w:rPr>
                <w:sz w:val="18"/>
                <w:szCs w:val="18"/>
                <w:u w:color="auto" w:val="single"/>
              </w:rPr>
              <w:t>В холодный период года:</w:t>
            </w:r>
            <w:r>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 Содержание мест накопления твердых коммунальных отходов: подметание площадки у мусорокамеры, очистка от мусора, снега и наледи контейнерных площадок. </w:t>
              <w:br w:type="textWrapping"/>
            </w:r>
            <w:r>
              <w:rPr>
                <w:sz w:val="18"/>
                <w:szCs w:val="18"/>
                <w:u w:color="auto" w:val="single"/>
              </w:rPr>
              <w:t>В теплый период года:</w:t>
            </w:r>
            <w:r>
              <w:rPr>
                <w:sz w:val="18"/>
                <w:szCs w:val="18"/>
              </w:rPr>
              <w:t xml:space="preserve"> Подметание и уборка придомовой территории в том числе: крыльца, 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 Содержание мест накопления твердых коммунальных отходов: подметание площадки у мусорокамеры, очистка от мусора контейнерных площадок.                                                                                                                                                                                                                                                                                                                                                                                                                                                                                                                                                                                                                                                                                                                                                    </w:t>
            </w:r>
            <w:r>
              <w:rPr>
                <w:b/>
                <w:sz w:val="18"/>
                <w:szCs w:val="18"/>
              </w:rPr>
            </w:r>
          </w:p>
        </w:tc>
        <w:tc>
          <w:tcPr>
            <w:tcW w:w="1701" w:type="dxa"/>
            <w:tmTcPr id="1757405527" protected="0"/>
          </w:tcPr>
          <w:p>
            <w:pPr>
              <w:pStyle w:val="para17"/>
              <w:rPr>
                <w:sz w:val="18"/>
                <w:szCs w:val="18"/>
              </w:rPr>
            </w:pPr>
            <w:r>
              <w:rPr>
                <w:sz w:val="18"/>
                <w:szCs w:val="18"/>
              </w:rPr>
              <w:t>12 раз в год (в месяц выполняются работы (услуги) с периодичностью установленной законодательством РФ*)</w:t>
            </w:r>
          </w:p>
        </w:tc>
        <w:tc>
          <w:tcPr>
            <w:tcW w:w="851" w:type="dxa"/>
            <w:tmTcPr id="1757405527" protected="0"/>
          </w:tcPr>
          <w:p>
            <w:pPr>
              <w:pStyle w:val="para17"/>
              <w:rPr>
                <w:b/>
                <w:sz w:val="18"/>
                <w:szCs w:val="18"/>
              </w:rPr>
            </w:pPr>
            <w:r>
              <w:rPr>
                <w:b/>
                <w:sz w:val="18"/>
                <w:szCs w:val="18"/>
              </w:rPr>
              <w:t>7,90</w:t>
            </w:r>
          </w:p>
        </w:tc>
      </w:tr>
      <w:tr>
        <w:trPr>
          <w:tblHeader w:val="0"/>
          <w:cantSplit w:val="0"/>
          <w:trHeight w:val="819" w:hRule="atLeast"/>
        </w:trPr>
        <w:tc>
          <w:tcPr>
            <w:tcW w:w="488" w:type="dxa"/>
            <w:vMerge/>
            <w:tmTcPr id="1757405527" protected="0"/>
          </w:tcPr>
          <w:p/>
        </w:tc>
        <w:tc>
          <w:tcPr>
            <w:tcW w:w="7700" w:type="dxa"/>
            <w:tmTcPr id="1757405527" protected="0"/>
          </w:tcPr>
          <w:p>
            <w:pPr>
              <w:pStyle w:val="para17"/>
              <w:rPr>
                <w:sz w:val="18"/>
                <w:szCs w:val="18"/>
              </w:rPr>
            </w:pPr>
            <w:r>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tmTcPr id="1757405527" protected="0"/>
          </w:tcPr>
          <w:p>
            <w:pPr>
              <w:pStyle w:val="para17"/>
              <w:rPr>
                <w:sz w:val="16"/>
                <w:szCs w:val="16"/>
              </w:rPr>
            </w:pPr>
            <w:r>
              <w:rPr>
                <w:sz w:val="18"/>
                <w:szCs w:val="18"/>
              </w:rPr>
              <w:t>1 раз в год</w:t>
            </w:r>
            <w:r>
              <w:rPr>
                <w:sz w:val="16"/>
                <w:szCs w:val="16"/>
              </w:rPr>
              <w:t xml:space="preserve"> (в месяц выполняются работы (услуги) с периодичностью установленной законодательством РФ*)</w:t>
            </w:r>
            <w:r>
              <w:rPr>
                <w:sz w:val="16"/>
                <w:szCs w:val="16"/>
              </w:rPr>
            </w:r>
          </w:p>
        </w:tc>
        <w:tc>
          <w:tcPr>
            <w:tcW w:w="851" w:type="dxa"/>
            <w:tmTcPr id="1757405527" protected="0"/>
          </w:tcPr>
          <w:p>
            <w:pPr>
              <w:pStyle w:val="para17"/>
              <w:rPr>
                <w:b/>
                <w:sz w:val="18"/>
                <w:szCs w:val="18"/>
              </w:rPr>
            </w:pPr>
            <w:r>
              <w:rPr>
                <w:b/>
                <w:sz w:val="18"/>
                <w:szCs w:val="18"/>
              </w:rPr>
              <w:t>0,75</w:t>
            </w:r>
          </w:p>
        </w:tc>
      </w:tr>
      <w:tr>
        <w:trPr>
          <w:tblHeader w:val="0"/>
          <w:cantSplit w:val="0"/>
          <w:trHeight w:val="70" w:hRule="atLeast"/>
        </w:trPr>
        <w:tc>
          <w:tcPr>
            <w:tcW w:w="488" w:type="dxa"/>
            <w:tmTcPr id="1757405527" protected="0"/>
          </w:tcPr>
          <w:p>
            <w:pPr>
              <w:pStyle w:val="para17"/>
              <w:rPr>
                <w:b/>
                <w:sz w:val="18"/>
                <w:szCs w:val="18"/>
              </w:rPr>
            </w:pPr>
            <w:r>
              <w:rPr>
                <w:b/>
                <w:sz w:val="18"/>
                <w:szCs w:val="18"/>
              </w:rPr>
              <w:t>17</w:t>
            </w:r>
          </w:p>
        </w:tc>
        <w:tc>
          <w:tcPr>
            <w:tcW w:w="7700" w:type="dxa"/>
            <w:tmTcPr id="1757405527" protected="0"/>
          </w:tcPr>
          <w:p>
            <w:pPr>
              <w:pStyle w:val="para17"/>
              <w:rPr>
                <w:sz w:val="18"/>
                <w:szCs w:val="18"/>
              </w:rPr>
            </w:pPr>
            <w:r>
              <w:rPr>
                <w:sz w:val="18"/>
                <w:szCs w:val="18"/>
              </w:rPr>
              <w:t>Дератизация, дезинсекция: Места общего пользования (подвалы, мусороприемные камеры и др.)</w:t>
            </w:r>
          </w:p>
        </w:tc>
        <w:tc>
          <w:tcPr>
            <w:tcW w:w="1701" w:type="dxa"/>
            <w:tmTcPr id="1757405527" protected="0"/>
          </w:tcPr>
          <w:p>
            <w:pPr>
              <w:pStyle w:val="para17"/>
              <w:rPr>
                <w:sz w:val="18"/>
                <w:szCs w:val="18"/>
              </w:rPr>
            </w:pPr>
            <w:r>
              <w:rPr>
                <w:sz w:val="18"/>
                <w:szCs w:val="18"/>
              </w:rPr>
              <w:t>2 раз в год</w:t>
            </w:r>
          </w:p>
        </w:tc>
        <w:tc>
          <w:tcPr>
            <w:tcW w:w="851" w:type="dxa"/>
            <w:tmTcPr id="1757405527" protected="0"/>
          </w:tcPr>
          <w:p>
            <w:pPr>
              <w:pStyle w:val="para17"/>
              <w:rPr>
                <w:b/>
                <w:sz w:val="18"/>
                <w:szCs w:val="18"/>
              </w:rPr>
            </w:pPr>
            <w:r>
              <w:rPr>
                <w:b/>
                <w:sz w:val="18"/>
                <w:szCs w:val="18"/>
              </w:rPr>
              <w:t>0,12</w:t>
            </w:r>
          </w:p>
        </w:tc>
      </w:tr>
      <w:tr>
        <w:trPr>
          <w:tblHeader w:val="0"/>
          <w:cantSplit w:val="0"/>
          <w:trHeight w:val="70" w:hRule="atLeast"/>
        </w:trPr>
        <w:tc>
          <w:tcPr>
            <w:tcW w:w="488" w:type="dxa"/>
            <w:tmTcPr id="1757405527" protected="0"/>
          </w:tcPr>
          <w:p>
            <w:pPr>
              <w:pStyle w:val="para17"/>
              <w:rPr>
                <w:b/>
                <w:sz w:val="18"/>
                <w:szCs w:val="18"/>
              </w:rPr>
            </w:pPr>
            <w:r>
              <w:rPr>
                <w:b/>
                <w:sz w:val="18"/>
                <w:szCs w:val="18"/>
              </w:rPr>
              <w:t>18</w:t>
            </w:r>
          </w:p>
        </w:tc>
        <w:tc>
          <w:tcPr>
            <w:tcW w:w="7700" w:type="dxa"/>
            <w:tmTcPr id="1757405527" protected="0"/>
          </w:tcPr>
          <w:p>
            <w:pPr>
              <w:pStyle w:val="para17"/>
              <w:rPr>
                <w:sz w:val="18"/>
                <w:szCs w:val="18"/>
              </w:rPr>
            </w:pPr>
            <w:r>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tmTcPr id="1757405527" protected="0"/>
          </w:tcPr>
          <w:p>
            <w:pPr>
              <w:pStyle w:val="para17"/>
              <w:rPr>
                <w:sz w:val="18"/>
                <w:szCs w:val="18"/>
              </w:rPr>
            </w:pPr>
            <w:r>
              <w:rPr>
                <w:sz w:val="18"/>
                <w:szCs w:val="18"/>
              </w:rPr>
              <w:t>1 раз в год</w:t>
            </w:r>
          </w:p>
        </w:tc>
        <w:tc>
          <w:tcPr>
            <w:tcW w:w="851" w:type="dxa"/>
            <w:tmTcPr id="1757405527" protected="0"/>
          </w:tcPr>
          <w:p>
            <w:pPr>
              <w:pStyle w:val="para17"/>
              <w:rPr>
                <w:b/>
                <w:sz w:val="18"/>
                <w:szCs w:val="18"/>
              </w:rPr>
            </w:pPr>
            <w:r>
              <w:rPr>
                <w:b/>
                <w:sz w:val="18"/>
                <w:szCs w:val="18"/>
              </w:rPr>
              <w:t>0,03</w:t>
            </w:r>
          </w:p>
        </w:tc>
      </w:tr>
      <w:tr>
        <w:trPr>
          <w:tblHeader w:val="0"/>
          <w:cantSplit w:val="0"/>
          <w:trHeight w:val="70" w:hRule="atLeast"/>
        </w:trPr>
        <w:tc>
          <w:tcPr>
            <w:tcW w:w="9889" w:type="dxa"/>
            <w:gridSpan w:val="3"/>
            <w:tmTcPr id="1757405527" protected="0"/>
          </w:tcPr>
          <w:p>
            <w:pPr>
              <w:pStyle w:val="para17"/>
              <w:rPr>
                <w:sz w:val="18"/>
                <w:szCs w:val="18"/>
              </w:rPr>
            </w:pPr>
            <w:r>
              <w:rPr>
                <w:sz w:val="18"/>
                <w:szCs w:val="18"/>
              </w:rPr>
              <w:t>Итого содержание придомовой территории (земельный участок) МКД</w:t>
            </w:r>
          </w:p>
        </w:tc>
        <w:tc>
          <w:tcPr>
            <w:tcW w:w="851" w:type="dxa"/>
            <w:tmTcPr id="1757405527" protected="0"/>
          </w:tcPr>
          <w:p>
            <w:pPr>
              <w:pStyle w:val="para17"/>
              <w:rPr>
                <w:b/>
                <w:sz w:val="18"/>
                <w:szCs w:val="18"/>
              </w:rPr>
            </w:pPr>
            <w:r>
              <w:rPr>
                <w:b/>
                <w:sz w:val="18"/>
                <w:szCs w:val="18"/>
              </w:rPr>
              <w:t>8,80</w:t>
            </w:r>
          </w:p>
        </w:tc>
      </w:tr>
      <w:tr>
        <w:trPr>
          <w:tblHeader w:val="0"/>
          <w:cantSplit w:val="0"/>
          <w:trHeight w:val="1108" w:hRule="atLeast"/>
        </w:trPr>
        <w:tc>
          <w:tcPr>
            <w:tcW w:w="488" w:type="dxa"/>
            <w:vMerge w:val="restart"/>
            <w:tmTcPr id="1757405527" protected="0"/>
          </w:tcPr>
          <w:p>
            <w:pPr>
              <w:pStyle w:val="para17"/>
              <w:rPr>
                <w:b/>
                <w:sz w:val="18"/>
                <w:szCs w:val="18"/>
              </w:rPr>
            </w:pPr>
            <w:r>
              <w:rPr>
                <w:b/>
                <w:sz w:val="18"/>
                <w:szCs w:val="18"/>
              </w:rPr>
              <w:t>19</w:t>
            </w:r>
          </w:p>
        </w:tc>
        <w:tc>
          <w:tcPr>
            <w:tcW w:w="7700" w:type="dxa"/>
            <w:tmTcPr id="1757405527" protected="0"/>
          </w:tcPr>
          <w:p>
            <w:pPr>
              <w:pStyle w:val="para17"/>
              <w:rPr>
                <w:b/>
                <w:sz w:val="18"/>
                <w:szCs w:val="18"/>
              </w:rPr>
            </w:pPr>
            <w:r>
              <w:rPr>
                <w:b/>
                <w:sz w:val="18"/>
                <w:szCs w:val="18"/>
              </w:rPr>
              <w:t>Уборка лестничных клеток:</w:t>
              <w:br w:type="textWrapping"/>
            </w:r>
            <w:r>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r>
              <w:rPr>
                <w:b/>
                <w:sz w:val="18"/>
                <w:szCs w:val="18"/>
              </w:rPr>
            </w:r>
          </w:p>
        </w:tc>
        <w:tc>
          <w:tcPr>
            <w:tcW w:w="1701" w:type="dxa"/>
            <w:tmTcPr id="1757405527" protected="0"/>
          </w:tcPr>
          <w:p>
            <w:pPr>
              <w:pStyle w:val="para17"/>
              <w:rPr>
                <w:sz w:val="16"/>
                <w:szCs w:val="16"/>
              </w:rPr>
            </w:pPr>
            <w:r>
              <w:rPr>
                <w:sz w:val="18"/>
                <w:szCs w:val="18"/>
              </w:rPr>
              <w:t>24 раз в год</w:t>
            </w:r>
            <w:r>
              <w:rPr>
                <w:sz w:val="16"/>
                <w:szCs w:val="16"/>
              </w:rPr>
              <w:t xml:space="preserve"> (в месяц выполняются работы (услуги) с периодичностью установленной законодательством РФ*)</w:t>
            </w:r>
            <w:r>
              <w:rPr>
                <w:sz w:val="16"/>
                <w:szCs w:val="16"/>
              </w:rPr>
            </w:r>
          </w:p>
        </w:tc>
        <w:tc>
          <w:tcPr>
            <w:tcW w:w="851" w:type="dxa"/>
            <w:tmTcPr id="1757405527" protected="0"/>
          </w:tcPr>
          <w:p>
            <w:pPr>
              <w:pStyle w:val="para17"/>
              <w:rPr>
                <w:b/>
                <w:sz w:val="18"/>
                <w:szCs w:val="18"/>
              </w:rPr>
            </w:pPr>
            <w:r>
              <w:rPr>
                <w:b/>
                <w:sz w:val="18"/>
                <w:szCs w:val="18"/>
              </w:rPr>
              <w:t>2,23</w:t>
            </w:r>
          </w:p>
        </w:tc>
      </w:tr>
      <w:tr>
        <w:trPr>
          <w:tblHeader w:val="0"/>
          <w:cantSplit w:val="0"/>
          <w:trHeight w:val="507" w:hRule="atLeast"/>
        </w:trPr>
        <w:tc>
          <w:tcPr>
            <w:tcW w:w="488" w:type="dxa"/>
            <w:vMerge/>
            <w:tmTcPr id="1757405527" protected="0"/>
          </w:tcPr>
          <w:p/>
        </w:tc>
        <w:tc>
          <w:tcPr>
            <w:tcW w:w="7700" w:type="dxa"/>
            <w:tmTcPr id="1757405527" protected="0"/>
          </w:tcPr>
          <w:p>
            <w:pPr>
              <w:pStyle w:val="para17"/>
              <w:rPr>
                <w:sz w:val="18"/>
                <w:szCs w:val="18"/>
              </w:rPr>
            </w:pPr>
            <w:r>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tmTcPr id="1757405527" protected="0"/>
          </w:tcPr>
          <w:p>
            <w:pPr>
              <w:pStyle w:val="para17"/>
              <w:rPr>
                <w:sz w:val="18"/>
                <w:szCs w:val="18"/>
              </w:rPr>
            </w:pPr>
            <w:r>
              <w:rPr>
                <w:sz w:val="18"/>
                <w:szCs w:val="18"/>
              </w:rPr>
              <w:t>1 раз в год</w:t>
            </w:r>
          </w:p>
        </w:tc>
        <w:tc>
          <w:tcPr>
            <w:tcW w:w="851" w:type="dxa"/>
            <w:tmTcPr id="1757405527" protected="0"/>
          </w:tcPr>
          <w:p>
            <w:pPr>
              <w:pStyle w:val="para17"/>
              <w:rPr>
                <w:b/>
                <w:sz w:val="18"/>
                <w:szCs w:val="18"/>
              </w:rPr>
            </w:pPr>
            <w:r>
              <w:rPr>
                <w:b/>
                <w:sz w:val="18"/>
                <w:szCs w:val="18"/>
              </w:rPr>
              <w:t>1,02</w:t>
            </w:r>
          </w:p>
        </w:tc>
      </w:tr>
      <w:tr>
        <w:trPr>
          <w:tblHeader w:val="0"/>
          <w:cantSplit w:val="0"/>
          <w:trHeight w:val="70" w:hRule="atLeast"/>
        </w:trPr>
        <w:tc>
          <w:tcPr>
            <w:tcW w:w="488" w:type="dxa"/>
            <w:vMerge/>
            <w:tmTcPr id="1757405527" protected="0"/>
          </w:tcPr>
          <w:p/>
        </w:tc>
        <w:tc>
          <w:tcPr>
            <w:tcW w:w="7700" w:type="dxa"/>
            <w:tmTcPr id="1757405527" protected="0"/>
          </w:tcPr>
          <w:p>
            <w:pPr>
              <w:pStyle w:val="para17"/>
              <w:rPr>
                <w:sz w:val="18"/>
                <w:szCs w:val="18"/>
              </w:rPr>
            </w:pPr>
            <w:r>
              <w:rPr>
                <w:i/>
                <w:iCs/>
                <w:sz w:val="18"/>
                <w:szCs w:val="18"/>
              </w:rPr>
              <w:t>Санитарное содержание кабины лифта:</w:t>
            </w:r>
            <w:r>
              <w:rPr>
                <w:sz w:val="18"/>
                <w:szCs w:val="18"/>
              </w:rPr>
              <w:br w:type="textWrapping"/>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1" w:type="dxa"/>
            <w:tmTcPr id="1757405527" protected="0"/>
          </w:tcPr>
          <w:p>
            <w:pPr>
              <w:pStyle w:val="para17"/>
              <w:rPr>
                <w:sz w:val="18"/>
                <w:szCs w:val="18"/>
              </w:rPr>
            </w:pPr>
            <w:r>
              <w:rPr>
                <w:sz w:val="18"/>
                <w:szCs w:val="18"/>
              </w:rPr>
              <w:t>24 раза в год</w:t>
            </w:r>
          </w:p>
        </w:tc>
        <w:tc>
          <w:tcPr>
            <w:tcW w:w="851" w:type="dxa"/>
            <w:tmTcPr id="1757405527" protected="0"/>
          </w:tcPr>
          <w:p>
            <w:pPr>
              <w:pStyle w:val="para17"/>
              <w:rPr>
                <w:b/>
                <w:sz w:val="18"/>
                <w:szCs w:val="18"/>
              </w:rPr>
            </w:pPr>
            <w:r>
              <w:rPr>
                <w:b/>
                <w:sz w:val="18"/>
                <w:szCs w:val="18"/>
              </w:rPr>
              <w:t>0,00</w:t>
            </w:r>
          </w:p>
        </w:tc>
      </w:tr>
      <w:tr>
        <w:trPr>
          <w:tblHeader w:val="0"/>
          <w:cantSplit w:val="0"/>
          <w:trHeight w:val="70" w:hRule="atLeast"/>
        </w:trPr>
        <w:tc>
          <w:tcPr>
            <w:tcW w:w="9889" w:type="dxa"/>
            <w:gridSpan w:val="3"/>
            <w:tmTcPr id="1757405527" protected="0"/>
          </w:tcPr>
          <w:p>
            <w:pPr>
              <w:pStyle w:val="para17"/>
              <w:rPr>
                <w:sz w:val="18"/>
                <w:szCs w:val="18"/>
              </w:rPr>
            </w:pPr>
            <w:r>
              <w:rPr>
                <w:sz w:val="18"/>
                <w:szCs w:val="18"/>
              </w:rPr>
              <w:t>Итого уборка лестничных клеток МКД</w:t>
            </w:r>
          </w:p>
        </w:tc>
        <w:tc>
          <w:tcPr>
            <w:tcW w:w="851" w:type="dxa"/>
            <w:tmTcPr id="1757405527" protected="0"/>
          </w:tcPr>
          <w:p>
            <w:pPr>
              <w:pStyle w:val="para17"/>
              <w:rPr>
                <w:b/>
                <w:sz w:val="18"/>
                <w:szCs w:val="18"/>
              </w:rPr>
            </w:pPr>
            <w:r>
              <w:rPr>
                <w:b/>
                <w:sz w:val="18"/>
                <w:szCs w:val="18"/>
              </w:rPr>
              <w:t>3,25</w:t>
            </w:r>
          </w:p>
        </w:tc>
      </w:tr>
      <w:tr>
        <w:trPr>
          <w:tblHeader w:val="0"/>
          <w:cantSplit w:val="0"/>
          <w:trHeight w:val="3960" w:hRule="atLeast"/>
        </w:trPr>
        <w:tc>
          <w:tcPr>
            <w:tcW w:w="488" w:type="dxa"/>
            <w:vMerge w:val="restart"/>
            <w:tmTcPr id="1757405527" protected="0"/>
          </w:tcPr>
          <w:p>
            <w:pPr>
              <w:pStyle w:val="para17"/>
              <w:rPr>
                <w:b/>
                <w:sz w:val="18"/>
                <w:szCs w:val="18"/>
              </w:rPr>
            </w:pPr>
            <w:r>
              <w:rPr>
                <w:b/>
                <w:sz w:val="18"/>
                <w:szCs w:val="18"/>
              </w:rPr>
              <w:t>20.</w:t>
            </w:r>
          </w:p>
        </w:tc>
        <w:tc>
          <w:tcPr>
            <w:tcW w:w="7700" w:type="dxa"/>
            <w:tmTcPr id="1757405527" protected="0"/>
          </w:tcPr>
          <w:p>
            <w:pPr>
              <w:pStyle w:val="para17"/>
              <w:rPr>
                <w:b/>
                <w:sz w:val="18"/>
                <w:szCs w:val="18"/>
              </w:rPr>
            </w:pPr>
            <w:r>
              <w:rPr>
                <w:b/>
                <w:sz w:val="18"/>
                <w:szCs w:val="18"/>
              </w:rPr>
              <w:t xml:space="preserve">Управление многоквартирным домом: </w:t>
            </w:r>
            <w:r>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r>
              <w:rPr>
                <w:b/>
                <w:sz w:val="18"/>
                <w:szCs w:val="18"/>
              </w:rPr>
            </w:r>
          </w:p>
        </w:tc>
        <w:tc>
          <w:tcPr>
            <w:tcW w:w="1701" w:type="dxa"/>
            <w:tmTcPr id="1757405527" protected="0"/>
          </w:tcPr>
          <w:p>
            <w:pPr>
              <w:pStyle w:val="para17"/>
              <w:rPr>
                <w:sz w:val="18"/>
                <w:szCs w:val="18"/>
              </w:rPr>
            </w:pPr>
            <w:r>
              <w:rPr>
                <w:sz w:val="18"/>
                <w:szCs w:val="18"/>
              </w:rPr>
              <w:t>Ежедневно (в месяц выполняются работы (услуги) с периодичностью установленной законодательством РФ*)</w:t>
            </w:r>
          </w:p>
        </w:tc>
        <w:tc>
          <w:tcPr>
            <w:tcW w:w="851" w:type="dxa"/>
            <w:tmTcPr id="1757405527" protected="0"/>
          </w:tcPr>
          <w:p>
            <w:pPr>
              <w:pStyle w:val="para17"/>
              <w:rPr>
                <w:b/>
                <w:sz w:val="18"/>
                <w:szCs w:val="18"/>
              </w:rPr>
            </w:pPr>
            <w:r>
              <w:rPr>
                <w:b/>
                <w:sz w:val="18"/>
                <w:szCs w:val="18"/>
              </w:rPr>
              <w:t>6,30</w:t>
            </w:r>
          </w:p>
        </w:tc>
      </w:tr>
      <w:tr>
        <w:trPr>
          <w:tblHeader w:val="0"/>
          <w:cantSplit w:val="0"/>
          <w:trHeight w:val="310" w:hRule="atLeast"/>
        </w:trPr>
        <w:tc>
          <w:tcPr>
            <w:tcW w:w="488" w:type="dxa"/>
            <w:vMerge/>
            <w:tmTcPr id="1757405527" protected="0"/>
          </w:tcPr>
          <w:p/>
        </w:tc>
        <w:tc>
          <w:tcPr>
            <w:tcW w:w="7700" w:type="dxa"/>
            <w:tmTcPr id="1757405527" protected="0"/>
          </w:tcPr>
          <w:p>
            <w:pPr>
              <w:pStyle w:val="para17"/>
              <w:rPr>
                <w:sz w:val="18"/>
                <w:szCs w:val="18"/>
              </w:rPr>
            </w:pPr>
            <w:r>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tmTcPr id="1757405527" protected="0"/>
          </w:tcPr>
          <w:p>
            <w:pPr>
              <w:pStyle w:val="para17"/>
              <w:rPr>
                <w:sz w:val="18"/>
                <w:szCs w:val="18"/>
              </w:rPr>
            </w:pPr>
            <w:r>
              <w:rPr>
                <w:sz w:val="18"/>
                <w:szCs w:val="18"/>
              </w:rPr>
              <w:t>круглосуточно</w:t>
            </w:r>
          </w:p>
        </w:tc>
        <w:tc>
          <w:tcPr>
            <w:tcW w:w="851" w:type="dxa"/>
            <w:tmTcPr id="1757405527" protected="0"/>
          </w:tcPr>
          <w:p>
            <w:pPr>
              <w:pStyle w:val="para17"/>
              <w:rPr>
                <w:b/>
                <w:sz w:val="18"/>
                <w:szCs w:val="18"/>
              </w:rPr>
            </w:pPr>
            <w:r>
              <w:rPr>
                <w:b/>
                <w:sz w:val="18"/>
                <w:szCs w:val="18"/>
              </w:rPr>
              <w:t>0,70</w:t>
            </w:r>
          </w:p>
        </w:tc>
      </w:tr>
      <w:tr>
        <w:trPr>
          <w:tblHeader w:val="0"/>
          <w:cantSplit w:val="0"/>
          <w:trHeight w:val="70" w:hRule="atLeast"/>
        </w:trPr>
        <w:tc>
          <w:tcPr>
            <w:tcW w:w="9889" w:type="dxa"/>
            <w:gridSpan w:val="3"/>
            <w:tmTcPr id="1757405527" protected="0"/>
          </w:tcPr>
          <w:p>
            <w:pPr>
              <w:pStyle w:val="para17"/>
              <w:rPr>
                <w:sz w:val="18"/>
                <w:szCs w:val="18"/>
              </w:rPr>
            </w:pPr>
            <w:r>
              <w:rPr>
                <w:sz w:val="18"/>
                <w:szCs w:val="18"/>
              </w:rPr>
              <w:t>Итого управление МКД</w:t>
            </w:r>
          </w:p>
        </w:tc>
        <w:tc>
          <w:tcPr>
            <w:tcW w:w="851" w:type="dxa"/>
            <w:tmTcPr id="1757405527" protected="0"/>
          </w:tcPr>
          <w:p>
            <w:pPr>
              <w:pStyle w:val="para17"/>
              <w:rPr>
                <w:b/>
                <w:sz w:val="18"/>
                <w:szCs w:val="18"/>
              </w:rPr>
            </w:pPr>
            <w:r>
              <w:rPr>
                <w:b/>
                <w:sz w:val="18"/>
                <w:szCs w:val="18"/>
              </w:rPr>
              <w:t>7,00</w:t>
            </w:r>
          </w:p>
        </w:tc>
      </w:tr>
      <w:tr>
        <w:trPr>
          <w:tblHeader w:val="0"/>
          <w:cantSplit w:val="0"/>
          <w:trHeight w:val="264" w:hRule="atLeast"/>
        </w:trPr>
        <w:tc>
          <w:tcPr>
            <w:tcW w:w="9889" w:type="dxa"/>
            <w:gridSpan w:val="3"/>
            <w:tmTcPr id="1757405527" protected="0"/>
          </w:tcPr>
          <w:p>
            <w:pPr>
              <w:pStyle w:val="para17"/>
              <w:rPr>
                <w:b/>
                <w:sz w:val="18"/>
                <w:szCs w:val="18"/>
              </w:rPr>
            </w:pPr>
            <w:r>
              <w:rPr>
                <w:b/>
                <w:sz w:val="18"/>
                <w:szCs w:val="18"/>
              </w:rPr>
              <w:t>ВСЕГО содержание общего имущества в многоквартирном доме</w:t>
            </w:r>
          </w:p>
        </w:tc>
        <w:tc>
          <w:tcPr>
            <w:tcW w:w="851" w:type="dxa"/>
            <w:tmTcPr id="1757405527" protected="0"/>
          </w:tcPr>
          <w:p>
            <w:pPr>
              <w:pStyle w:val="para17"/>
              <w:rPr>
                <w:b/>
                <w:sz w:val="18"/>
                <w:szCs w:val="18"/>
              </w:rPr>
            </w:pPr>
            <w:r>
              <w:rPr>
                <w:b/>
                <w:sz w:val="18"/>
                <w:szCs w:val="18"/>
              </w:rPr>
              <w:t>37,65</w:t>
            </w:r>
          </w:p>
        </w:tc>
      </w:tr>
      <w:tr>
        <w:trPr>
          <w:tblHeader w:val="0"/>
          <w:cantSplit w:val="0"/>
          <w:trHeight w:val="70" w:hRule="atLeast"/>
        </w:trPr>
        <w:tc>
          <w:tcPr>
            <w:tcW w:w="10740" w:type="dxa"/>
            <w:gridSpan w:val="4"/>
            <w:tmTcPr id="1757405527" protected="0"/>
          </w:tcPr>
          <w:p>
            <w:pPr>
              <w:pStyle w:val="para17"/>
              <w:rPr>
                <w:b/>
                <w:sz w:val="18"/>
                <w:szCs w:val="18"/>
              </w:rPr>
            </w:pPr>
            <w:r>
              <w:rPr>
                <w:b/>
                <w:sz w:val="18"/>
                <w:szCs w:val="18"/>
              </w:rPr>
              <w:t>II. 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trPr>
          <w:tblHeader w:val="0"/>
          <w:cantSplit w:val="0"/>
          <w:trHeight w:val="992" w:hRule="atLeast"/>
        </w:trPr>
        <w:tc>
          <w:tcPr>
            <w:tcW w:w="488" w:type="dxa"/>
            <w:tmTcPr id="1757405527" protected="0"/>
          </w:tcPr>
          <w:p>
            <w:pPr>
              <w:pStyle w:val="para17"/>
              <w:rPr>
                <w:b/>
                <w:sz w:val="18"/>
                <w:szCs w:val="18"/>
              </w:rPr>
            </w:pPr>
            <w:r>
              <w:rPr>
                <w:b/>
                <w:sz w:val="18"/>
                <w:szCs w:val="18"/>
              </w:rPr>
              <w:t xml:space="preserve">1. </w:t>
            </w:r>
          </w:p>
        </w:tc>
        <w:tc>
          <w:tcPr>
            <w:tcW w:w="7700" w:type="dxa"/>
            <w:tmTcPr id="1757405527" protected="0"/>
          </w:tcPr>
          <w:p>
            <w:pPr>
              <w:pStyle w:val="para17"/>
              <w:rPr>
                <w:sz w:val="18"/>
                <w:szCs w:val="18"/>
              </w:rPr>
            </w:pPr>
            <w:r>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sz w:val="18"/>
                <w:szCs w:val="18"/>
              </w:rPr>
              <w:t>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электронного ключа, если разрешено открывание по индивидуальному или общему коду —</w:t>
            </w:r>
          </w:p>
          <w:p>
            <w:pPr/>
            <w:r>
              <w:rPr>
                <w:sz w:val="18"/>
                <w:szCs w:val="18"/>
              </w:rPr>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r/>
          </w:p>
        </w:tc>
        <w:tc>
          <w:tcPr>
            <w:tcW w:w="1701" w:type="dxa"/>
            <w:tmTcPr id="1757405527" protected="0"/>
          </w:tcPr>
          <w:p>
            <w:pPr>
              <w:pStyle w:val="para17"/>
              <w:rPr>
                <w:sz w:val="18"/>
                <w:szCs w:val="18"/>
              </w:rPr>
            </w:pPr>
            <w:r>
              <w:rPr>
                <w:sz w:val="18"/>
                <w:szCs w:val="18"/>
              </w:rPr>
              <w:t>12 раз в год</w:t>
            </w:r>
          </w:p>
        </w:tc>
        <w:tc>
          <w:tcPr>
            <w:tcW w:w="851" w:type="dxa"/>
            <w:tmTcPr id="1757405527" protected="0"/>
          </w:tcPr>
          <w:p>
            <w:pPr>
              <w:pStyle w:val="para17"/>
              <w:rPr>
                <w:sz w:val="18"/>
                <w:szCs w:val="18"/>
              </w:rPr>
            </w:pPr>
            <w:r>
              <w:rPr>
                <w:sz w:val="18"/>
                <w:szCs w:val="18"/>
              </w:rPr>
              <w:t>60 руб. с НДС /квартира</w:t>
            </w:r>
          </w:p>
        </w:tc>
      </w:tr>
      <w:tr>
        <w:trPr>
          <w:tblHeader w:val="0"/>
          <w:cantSplit w:val="0"/>
          <w:trHeight w:val="70" w:hRule="atLeast"/>
        </w:trPr>
        <w:tc>
          <w:tcPr>
            <w:tcW w:w="488" w:type="dxa"/>
            <w:tmTcPr id="1757405527" protected="0"/>
          </w:tcPr>
          <w:p>
            <w:pPr>
              <w:pStyle w:val="para17"/>
              <w:rPr>
                <w:b/>
                <w:sz w:val="18"/>
                <w:szCs w:val="18"/>
              </w:rPr>
            </w:pPr>
            <w:r>
              <w:rPr>
                <w:b/>
                <w:sz w:val="18"/>
                <w:szCs w:val="18"/>
              </w:rPr>
              <w:t>2.</w:t>
            </w:r>
          </w:p>
        </w:tc>
        <w:tc>
          <w:tcPr>
            <w:tcW w:w="7700" w:type="dxa"/>
            <w:tmTcPr id="1757405527" protected="0"/>
          </w:tcPr>
          <w:p>
            <w:pPr>
              <w:pStyle w:val="para17"/>
              <w:rPr>
                <w:sz w:val="18"/>
                <w:szCs w:val="18"/>
              </w:rPr>
            </w:pPr>
            <w:r>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tmTcPr id="1757405527" protected="0"/>
          </w:tcPr>
          <w:p>
            <w:pPr>
              <w:pStyle w:val="para17"/>
              <w:rPr>
                <w:sz w:val="18"/>
                <w:szCs w:val="18"/>
              </w:rPr>
            </w:pPr>
            <w:r>
              <w:rPr>
                <w:sz w:val="18"/>
                <w:szCs w:val="18"/>
              </w:rPr>
              <w:t>12 раз в год</w:t>
            </w:r>
          </w:p>
        </w:tc>
        <w:tc>
          <w:tcPr>
            <w:tcW w:w="851" w:type="dxa"/>
            <w:tmTcPr id="1757405527" protected="0"/>
          </w:tcPr>
          <w:p>
            <w:pPr>
              <w:pStyle w:val="para17"/>
              <w:rPr>
                <w:sz w:val="18"/>
                <w:szCs w:val="18"/>
              </w:rPr>
            </w:pPr>
            <w:r>
              <w:rPr>
                <w:sz w:val="18"/>
                <w:szCs w:val="18"/>
              </w:rPr>
              <w:t>60 руб. с НДС /квартира</w:t>
            </w:r>
          </w:p>
        </w:tc>
      </w:tr>
      <w:tr>
        <w:trPr>
          <w:tblHeader w:val="0"/>
          <w:cantSplit w:val="0"/>
          <w:trHeight w:val="70" w:hRule="atLeast"/>
        </w:trPr>
        <w:tc>
          <w:tcPr>
            <w:tcW w:w="10740" w:type="dxa"/>
            <w:gridSpan w:val="4"/>
            <w:tmTcPr id="1757405527" protected="0"/>
          </w:tcPr>
          <w:p>
            <w:pPr>
              <w:pStyle w:val="para17"/>
              <w:rPr>
                <w:b/>
                <w:sz w:val="18"/>
                <w:szCs w:val="18"/>
              </w:rPr>
            </w:pPr>
            <w:r>
              <w:rPr>
                <w:b/>
                <w:sz w:val="18"/>
                <w:szCs w:val="18"/>
              </w:rPr>
              <w:t>III.  Услуги, не входящие в обязательный перечень жилищных услуг (дополнительные услуги):</w:t>
            </w:r>
          </w:p>
        </w:tc>
      </w:tr>
      <w:tr>
        <w:trPr>
          <w:tblHeader w:val="0"/>
          <w:cantSplit w:val="0"/>
          <w:trHeight w:val="630" w:hRule="atLeast"/>
        </w:trPr>
        <w:tc>
          <w:tcPr>
            <w:tcW w:w="488" w:type="dxa"/>
            <w:tmTcPr id="1757405527" protected="0"/>
          </w:tcPr>
          <w:p>
            <w:pPr>
              <w:pStyle w:val="para17"/>
              <w:rPr>
                <w:b/>
                <w:sz w:val="18"/>
                <w:szCs w:val="18"/>
              </w:rPr>
            </w:pPr>
            <w:r>
              <w:rPr>
                <w:b/>
                <w:sz w:val="18"/>
                <w:szCs w:val="18"/>
              </w:rPr>
              <w:t>1.</w:t>
            </w:r>
          </w:p>
        </w:tc>
        <w:tc>
          <w:tcPr>
            <w:tcW w:w="7700" w:type="dxa"/>
            <w:tmTcPr id="1757405527" protected="0"/>
          </w:tcPr>
          <w:p>
            <w:pPr>
              <w:pStyle w:val="para17"/>
              <w:rPr>
                <w:sz w:val="18"/>
                <w:szCs w:val="18"/>
              </w:rPr>
            </w:pPr>
            <w:r>
              <w:rPr>
                <w:sz w:val="18"/>
                <w:szCs w:val="18"/>
              </w:rPr>
              <w:t>Обслуживание телевизионных антенн коллективного пользования</w:t>
            </w:r>
          </w:p>
        </w:tc>
        <w:tc>
          <w:tcPr>
            <w:tcW w:w="1701" w:type="dxa"/>
            <w:tmTcPr id="1757405527" protected="0"/>
          </w:tcPr>
          <w:p>
            <w:pPr>
              <w:pStyle w:val="para17"/>
              <w:rPr>
                <w:sz w:val="18"/>
                <w:szCs w:val="18"/>
              </w:rPr>
            </w:pPr>
            <w:r>
              <w:rPr>
                <w:sz w:val="18"/>
                <w:szCs w:val="18"/>
              </w:rPr>
              <w:t>12 раз в год</w:t>
            </w:r>
          </w:p>
        </w:tc>
        <w:tc>
          <w:tcPr>
            <w:tcW w:w="851" w:type="dxa"/>
            <w:tmTcPr id="1757405527" protected="0"/>
          </w:tcPr>
          <w:p>
            <w:pPr>
              <w:pStyle w:val="para17"/>
              <w:rPr>
                <w:sz w:val="18"/>
                <w:szCs w:val="18"/>
              </w:rPr>
            </w:pPr>
            <w:r>
              <w:rPr>
                <w:sz w:val="18"/>
                <w:szCs w:val="18"/>
              </w:rPr>
              <w:t>21руб. с НДС /кварт.</w:t>
            </w:r>
          </w:p>
        </w:tc>
      </w:tr>
      <w:tr>
        <w:trPr>
          <w:tblHeader w:val="0"/>
          <w:cantSplit w:val="0"/>
          <w:trHeight w:val="630" w:hRule="atLeast"/>
        </w:trPr>
        <w:tc>
          <w:tcPr>
            <w:tcW w:w="488" w:type="dxa"/>
            <w:tmTcPr id="1757405527" protected="0"/>
          </w:tcPr>
          <w:p>
            <w:pPr>
              <w:pStyle w:val="para17"/>
              <w:rPr>
                <w:b/>
                <w:sz w:val="18"/>
                <w:szCs w:val="18"/>
              </w:rPr>
            </w:pPr>
            <w:r>
              <w:rPr>
                <w:b/>
                <w:sz w:val="18"/>
                <w:szCs w:val="18"/>
              </w:rPr>
              <w:t>2.</w:t>
            </w:r>
          </w:p>
        </w:tc>
        <w:tc>
          <w:tcPr>
            <w:tcW w:w="7700" w:type="dxa"/>
            <w:tmTcPr id="1757405527" protected="0"/>
          </w:tcPr>
          <w:p>
            <w:pPr>
              <w:pStyle w:val="para17"/>
              <w:rPr>
                <w:sz w:val="18"/>
                <w:szCs w:val="18"/>
              </w:rPr>
            </w:pPr>
            <w:r>
              <w:rPr>
                <w:sz w:val="18"/>
                <w:szCs w:val="18"/>
              </w:rPr>
              <w:t>Обслуживание многоканальных телевизионных антенн коллективного пользования</w:t>
            </w:r>
          </w:p>
        </w:tc>
        <w:tc>
          <w:tcPr>
            <w:tcW w:w="1701" w:type="dxa"/>
            <w:tmTcPr id="1757405527" protected="0"/>
          </w:tcPr>
          <w:p>
            <w:pPr>
              <w:pStyle w:val="para17"/>
              <w:rPr>
                <w:sz w:val="18"/>
                <w:szCs w:val="18"/>
              </w:rPr>
            </w:pPr>
            <w:r>
              <w:rPr>
                <w:sz w:val="18"/>
                <w:szCs w:val="18"/>
              </w:rPr>
              <w:t>12 раз в год</w:t>
            </w:r>
          </w:p>
        </w:tc>
        <w:tc>
          <w:tcPr>
            <w:tcW w:w="851" w:type="dxa"/>
            <w:tmTcPr id="1757405527" protected="0"/>
          </w:tcPr>
          <w:p>
            <w:pPr>
              <w:pStyle w:val="para17"/>
              <w:rPr>
                <w:sz w:val="18"/>
                <w:szCs w:val="18"/>
              </w:rPr>
            </w:pPr>
            <w:r>
              <w:rPr>
                <w:sz w:val="18"/>
                <w:szCs w:val="18"/>
              </w:rPr>
              <w:t>51руб. с НДС /кварт.</w:t>
            </w:r>
          </w:p>
        </w:tc>
      </w:tr>
      <w:tr>
        <w:trPr>
          <w:tblHeader w:val="0"/>
          <w:cantSplit w:val="0"/>
          <w:trHeight w:val="630" w:hRule="atLeast"/>
        </w:trPr>
        <w:tc>
          <w:tcPr>
            <w:tcW w:w="488" w:type="dxa"/>
            <w:tcBorders>
              <w:bottom w:val="single" w:sz="4" w:space="0" w:color="000000" tmln="10, 20, 20, 0, 0"/>
            </w:tcBorders>
            <w:tmTcPr id="1757405527" protected="0"/>
          </w:tcPr>
          <w:p>
            <w:pPr>
              <w:pStyle w:val="para17"/>
              <w:rPr>
                <w:b/>
                <w:sz w:val="18"/>
                <w:szCs w:val="18"/>
              </w:rPr>
            </w:pPr>
            <w:r>
              <w:rPr>
                <w:b/>
                <w:sz w:val="18"/>
                <w:szCs w:val="18"/>
              </w:rPr>
              <w:t>3.</w:t>
            </w:r>
          </w:p>
        </w:tc>
        <w:tc>
          <w:tcPr>
            <w:tcW w:w="7700" w:type="dxa"/>
            <w:tcBorders>
              <w:bottom w:val="single" w:sz="4" w:space="0" w:color="000000" tmln="10, 20, 20, 0, 0"/>
            </w:tcBorders>
            <w:tmTcPr id="1757405527" protected="0"/>
          </w:tcPr>
          <w:p>
            <w:pPr>
              <w:pStyle w:val="para17"/>
              <w:rPr>
                <w:sz w:val="18"/>
                <w:szCs w:val="18"/>
              </w:rPr>
            </w:pPr>
            <w:r>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000000" tmln="10, 20, 20, 0, 0"/>
            </w:tcBorders>
            <w:tmTcPr id="1757405527" protected="0"/>
          </w:tcPr>
          <w:p>
            <w:pPr>
              <w:pStyle w:val="para17"/>
              <w:rPr>
                <w:sz w:val="18"/>
                <w:szCs w:val="18"/>
              </w:rPr>
            </w:pPr>
            <w:r>
              <w:rPr>
                <w:sz w:val="18"/>
                <w:szCs w:val="18"/>
              </w:rPr>
              <w:t>12 раз в год</w:t>
            </w:r>
          </w:p>
        </w:tc>
        <w:tc>
          <w:tcPr>
            <w:tcW w:w="851" w:type="dxa"/>
            <w:tcBorders>
              <w:bottom w:val="single" w:sz="4" w:space="0" w:color="000000" tmln="10, 20, 20, 0, 0"/>
            </w:tcBorders>
            <w:tmTcPr id="1757405527" protected="0"/>
          </w:tcPr>
          <w:p>
            <w:pPr>
              <w:pStyle w:val="para17"/>
              <w:rPr>
                <w:sz w:val="18"/>
                <w:szCs w:val="18"/>
              </w:rPr>
            </w:pPr>
            <w:r>
              <w:rPr>
                <w:sz w:val="18"/>
                <w:szCs w:val="18"/>
              </w:rPr>
              <w:t>60 руб. с НДС /кварт.</w:t>
            </w:r>
          </w:p>
        </w:tc>
      </w:tr>
      <w:tr>
        <w:trPr>
          <w:tblHeader w:val="0"/>
          <w:cantSplit w:val="0"/>
          <w:trHeight w:val="645" w:hRule="atLeast"/>
        </w:trPr>
        <w:tc>
          <w:tcPr>
            <w:tcW w:w="488" w:type="dxa"/>
            <w:tcBorders>
              <w:bottom w:val="single" w:sz="4" w:space="0" w:color="000000" tmln="10, 20, 20, 0, 0"/>
            </w:tcBorders>
            <w:tmTcPr id="1757405527" protected="0"/>
          </w:tcPr>
          <w:p>
            <w:pPr>
              <w:pStyle w:val="para17"/>
              <w:rPr>
                <w:b/>
                <w:sz w:val="18"/>
                <w:szCs w:val="18"/>
              </w:rPr>
            </w:pPr>
            <w:r>
              <w:rPr>
                <w:b/>
                <w:sz w:val="18"/>
                <w:szCs w:val="18"/>
              </w:rPr>
              <w:t>4.</w:t>
            </w:r>
          </w:p>
        </w:tc>
        <w:tc>
          <w:tcPr>
            <w:tcW w:w="7700" w:type="dxa"/>
            <w:tcBorders>
              <w:bottom w:val="single" w:sz="4" w:space="0" w:color="000000" tmln="10, 20, 20, 0, 0"/>
            </w:tcBorders>
            <w:tmTcPr id="1757405527" protected="0"/>
          </w:tcPr>
          <w:p>
            <w:pPr>
              <w:pStyle w:val="para17"/>
              <w:rPr>
                <w:sz w:val="18"/>
                <w:szCs w:val="18"/>
              </w:rPr>
            </w:pPr>
            <w:r>
              <w:rPr>
                <w:sz w:val="18"/>
                <w:szCs w:val="18"/>
              </w:rPr>
              <w:t xml:space="preserve"> Возмещение расходов, связанных с содержанием собак в домашних условиях</w:t>
            </w:r>
          </w:p>
        </w:tc>
        <w:tc>
          <w:tcPr>
            <w:tcW w:w="1701" w:type="dxa"/>
            <w:tcBorders>
              <w:bottom w:val="single" w:sz="4" w:space="0" w:color="000000" tmln="10, 20, 20, 0, 0"/>
            </w:tcBorders>
            <w:tmTcPr id="1757405527" protected="0"/>
          </w:tcPr>
          <w:p>
            <w:pPr>
              <w:pStyle w:val="para17"/>
              <w:rPr>
                <w:sz w:val="18"/>
                <w:szCs w:val="18"/>
              </w:rPr>
            </w:pPr>
            <w:r>
              <w:rPr>
                <w:sz w:val="18"/>
                <w:szCs w:val="18"/>
              </w:rPr>
              <w:t>12 раз в год</w:t>
            </w:r>
          </w:p>
        </w:tc>
        <w:tc>
          <w:tcPr>
            <w:tcW w:w="851" w:type="dxa"/>
            <w:tcBorders>
              <w:bottom w:val="single" w:sz="4" w:space="0" w:color="000000" tmln="10, 20, 20, 0, 0"/>
            </w:tcBorders>
            <w:tmTcPr id="1757405527" protected="0"/>
          </w:tcPr>
          <w:p>
            <w:pPr>
              <w:pStyle w:val="para17"/>
              <w:rPr>
                <w:sz w:val="18"/>
                <w:szCs w:val="18"/>
              </w:rPr>
            </w:pPr>
            <w:r>
              <w:rPr>
                <w:sz w:val="18"/>
                <w:szCs w:val="18"/>
              </w:rPr>
              <w:t>70руб. с НДС /кварт.</w:t>
            </w:r>
          </w:p>
        </w:tc>
      </w:tr>
      <w:tr>
        <w:trPr>
          <w:tblHeader w:val="0"/>
          <w:cantSplit w:val="0"/>
          <w:trHeight w:val="2498" w:hRule="atLeast"/>
        </w:trPr>
        <w:tc>
          <w:tcPr>
            <w:tcW w:w="10740" w:type="dxa"/>
            <w:gridSpan w:val="4"/>
            <w:tcBorders>
              <w:top w:val="single" w:sz="4" w:space="0" w:color="000000" tmln="10, 20, 20, 0, 0"/>
              <w:left w:val="nil" w:sz="0" w:space="0" w:color="000000" tmln="20, 20, 20, 0, 0"/>
              <w:bottom w:val="nil" w:sz="0" w:space="0" w:color="000000" tmln="20, 20, 20, 0, 0"/>
              <w:right w:val="nil" w:sz="0" w:space="0" w:color="000000" tmln="20, 20, 20, 0, 0"/>
            </w:tcBorders>
            <w:tmTcPr id="1757405527" protected="0"/>
          </w:tcPr>
          <w:p>
            <w:pPr>
              <w:pStyle w:val="para17"/>
              <w:rPr>
                <w:sz w:val="16"/>
                <w:szCs w:val="16"/>
              </w:rPr>
            </w:pPr>
            <w:r>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br w:type="textWrapping"/>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pPr>
        <w:ind w:firstLine="708"/>
        <w:spacing/>
        <w:jc w:val="center"/>
        <w:rPr>
          <w:bCs/>
          <w:sz w:val="18"/>
          <w:szCs w:val="18"/>
          <w:u w:color="auto" w:val="single"/>
        </w:rPr>
      </w:pPr>
      <w:r>
        <w:rPr>
          <w:b/>
          <w:bCs/>
          <w:sz w:val="18"/>
          <w:szCs w:val="18"/>
          <w:u w:color="auto" w:val="single"/>
        </w:rPr>
        <w:t>Приложение № 2 к договору управления многоквартирным домом от 01 января 2021 г.</w:t>
      </w:r>
      <w:r>
        <w:rPr>
          <w:bCs/>
          <w:sz w:val="18"/>
          <w:szCs w:val="18"/>
          <w:u w:color="auto" w:val="single"/>
        </w:rPr>
      </w:r>
    </w:p>
    <w:p>
      <w:pPr>
        <w:spacing/>
        <w:jc w:val="center"/>
        <w:rPr>
          <w:sz w:val="18"/>
          <w:szCs w:val="18"/>
          <w:u w:color="auto" w:val="single"/>
        </w:rPr>
      </w:pPr>
      <w:r>
        <w:rPr>
          <w:b/>
          <w:bCs/>
          <w:sz w:val="18"/>
          <w:szCs w:val="18"/>
          <w:u w:color="auto" w:val="single"/>
        </w:rPr>
        <w:t>«Перечень работ, услуг по текущему ремонту общего имущества многоквартирного дома» изложить в новой редакции:</w:t>
      </w:r>
      <w:r>
        <w:rPr>
          <w:sz w:val="18"/>
          <w:szCs w:val="18"/>
          <w:u w:color="auto" w:val="single"/>
        </w:rPr>
      </w:r>
    </w:p>
    <w:p>
      <w:pPr>
        <w:ind w:left="6372" w:right="149"/>
        <w:spacing/>
        <w:jc w:val="right"/>
        <w:rPr>
          <w:sz w:val="18"/>
          <w:szCs w:val="18"/>
        </w:rPr>
      </w:pPr>
      <w:r>
        <w:rPr>
          <w:rFonts w:eastAsia="Calibri"/>
          <w:sz w:val="18"/>
          <w:szCs w:val="18"/>
          <w:lang w:eastAsia="en-us"/>
        </w:rPr>
        <w:t>Приложение № 2 к договору управления многоквартирным домом от 01.01.2021г.</w:t>
      </w:r>
      <w:r>
        <w:rPr>
          <w:sz w:val="18"/>
          <w:szCs w:val="18"/>
        </w:rPr>
      </w:r>
    </w:p>
    <w:p>
      <w:pPr>
        <w:ind w:firstLine="708"/>
        <w:spacing/>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r>
        <w:rPr>
          <w:bCs/>
          <w:sz w:val="18"/>
          <w:szCs w:val="18"/>
        </w:rPr>
      </w:r>
    </w:p>
    <w:p>
      <w:pPr>
        <w:ind w:firstLine="708"/>
        <w:spacing/>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r>
        <w:rPr>
          <w:sz w:val="18"/>
          <w:szCs w:val="18"/>
        </w:rPr>
      </w:r>
    </w:p>
    <w:p>
      <w:pPr>
        <w:ind w:firstLine="708"/>
        <w:spacing/>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r>
        <w:rPr>
          <w:sz w:val="18"/>
          <w:szCs w:val="18"/>
        </w:rPr>
      </w:r>
    </w:p>
    <w:p>
      <w:pPr>
        <w:ind w:firstLine="708"/>
        <w:spacing/>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r>
        <w:rPr>
          <w:sz w:val="18"/>
          <w:szCs w:val="18"/>
        </w:rPr>
      </w:r>
    </w:p>
    <w:p>
      <w:pPr>
        <w:ind w:firstLine="708"/>
        <w:spacing/>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r>
        <w:rPr>
          <w:sz w:val="18"/>
          <w:szCs w:val="18"/>
        </w:rPr>
      </w:r>
    </w:p>
    <w:p>
      <w:pPr>
        <w:ind w:firstLine="708"/>
        <w:spacing/>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r>
        <w:rPr>
          <w:sz w:val="18"/>
          <w:szCs w:val="18"/>
        </w:rPr>
      </w:r>
    </w:p>
    <w:p>
      <w:pPr>
        <w:ind w:firstLine="708"/>
        <w:spacing/>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r>
        <w:rPr>
          <w:sz w:val="18"/>
          <w:szCs w:val="18"/>
        </w:rPr>
      </w:r>
    </w:p>
    <w:p>
      <w:pPr>
        <w:ind w:firstLine="708"/>
        <w:spacing/>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r>
        <w:rPr>
          <w:sz w:val="18"/>
          <w:szCs w:val="18"/>
        </w:rPr>
      </w:r>
    </w:p>
    <w:p>
      <w:pPr>
        <w:ind w:firstLine="708"/>
        <w:spacing/>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r>
        <w:rPr>
          <w:sz w:val="18"/>
          <w:szCs w:val="18"/>
        </w:rPr>
      </w:r>
    </w:p>
    <w:p>
      <w:pPr>
        <w:ind w:firstLine="708"/>
        <w:spacing/>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r>
        <w:rPr>
          <w:sz w:val="18"/>
          <w:szCs w:val="18"/>
        </w:rPr>
      </w:r>
    </w:p>
    <w:p>
      <w:pPr>
        <w:ind w:firstLine="708"/>
        <w:spacing/>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r>
        <w:rPr>
          <w:sz w:val="18"/>
          <w:szCs w:val="18"/>
        </w:rPr>
      </w:r>
    </w:p>
    <w:p>
      <w:pPr>
        <w:ind w:firstLine="708"/>
        <w:spacing/>
        <w:jc w:val="both"/>
        <w:rPr>
          <w:sz w:val="18"/>
          <w:szCs w:val="18"/>
        </w:rPr>
      </w:pPr>
      <w:r>
        <w:rPr>
          <w:rFonts w:eastAsia="Calibri"/>
          <w:sz w:val="18"/>
          <w:szCs w:val="18"/>
          <w:lang w:eastAsia="en-us"/>
        </w:rPr>
        <w:t>11. Замена мусороприемных клапанов.</w:t>
      </w:r>
      <w:r>
        <w:rPr>
          <w:sz w:val="18"/>
          <w:szCs w:val="18"/>
        </w:rPr>
      </w:r>
    </w:p>
    <w:p>
      <w:pPr>
        <w:ind w:firstLine="708"/>
        <w:spacing/>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pPr>
        <w:pStyle w:val="para23"/>
        <w:ind w:firstLine="709"/>
        <w:spacing w:before="0" w:beforeAutospacing="0"/>
        <w:rPr>
          <w:sz w:val="18"/>
          <w:szCs w:val="18"/>
        </w:rPr>
      </w:pPr>
      <w:r>
        <w:rPr>
          <w:sz w:val="18"/>
          <w:szCs w:val="18"/>
        </w:rPr>
        <w:t>Примечание:</w:t>
      </w:r>
    </w:p>
    <w:p>
      <w:pPr>
        <w:ind w:firstLine="708"/>
        <w:spacing/>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pPr>
        <w:ind w:right="-245"/>
        <w:spacing/>
        <w:jc w:val="center"/>
        <w:rPr>
          <w:sz w:val="18"/>
          <w:szCs w:val="18"/>
        </w:rPr>
      </w:pPr>
      <w:r>
        <w:rPr>
          <w:b/>
          <w:bCs/>
          <w:color w:val="000000"/>
          <w:sz w:val="18"/>
          <w:szCs w:val="18"/>
          <w:u w:color="auto" w:val="single"/>
        </w:rPr>
        <w:t>Подписание и действие Дополнительного соглашения № 5</w:t>
      </w:r>
      <w:r>
        <w:rPr>
          <w:sz w:val="18"/>
          <w:szCs w:val="18"/>
        </w:rPr>
      </w:r>
    </w:p>
    <w:p>
      <w:pPr>
        <w:ind w:right="-245" w:firstLine="708"/>
        <w:spacing/>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r>
        <w:rPr>
          <w:sz w:val="18"/>
          <w:szCs w:val="18"/>
        </w:rPr>
      </w:r>
    </w:p>
    <w:p>
      <w:pPr>
        <w:ind w:right="-245" w:firstLine="708"/>
        <w:spacing/>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r>
        <w:rPr>
          <w:sz w:val="18"/>
          <w:szCs w:val="18"/>
        </w:rPr>
      </w:r>
    </w:p>
    <w:p>
      <w:pPr>
        <w:ind w:firstLine="708"/>
        <w:spacing/>
        <w:jc w:val="both"/>
        <w:rPr>
          <w:sz w:val="18"/>
          <w:szCs w:val="18"/>
        </w:rPr>
      </w:pPr>
      <w:r>
        <w:rPr>
          <w:sz w:val="18"/>
          <w:szCs w:val="18"/>
        </w:rPr>
        <w:t xml:space="preserve">Настоящее Дополнительное соглашение № 5 составлено в 2х экземплярах по одному экземпляру для каждой из Сторон. </w:t>
      </w:r>
    </w:p>
    <w:p>
      <w:pPr>
        <w:ind w:firstLine="708"/>
        <w:spacing/>
        <w:jc w:val="both"/>
        <w:rPr>
          <w:sz w:val="18"/>
          <w:szCs w:val="18"/>
        </w:rPr>
      </w:pPr>
      <w:r>
        <w:rPr>
          <w:sz w:val="18"/>
          <w:szCs w:val="18"/>
        </w:rPr>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pPr>
        <w:ind w:firstLine="708"/>
        <w:spacing/>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r>
        <w:rPr>
          <w:sz w:val="18"/>
          <w:szCs w:val="18"/>
        </w:rPr>
      </w:r>
    </w:p>
    <w:p>
      <w:pPr>
        <w:ind w:firstLine="708"/>
        <w:spacing/>
        <w:jc w:val="both"/>
        <w:rPr>
          <w:sz w:val="18"/>
          <w:szCs w:val="18"/>
        </w:rPr>
      </w:pPr>
      <w:r>
        <w:rPr>
          <w:color w:val="000000"/>
          <w:sz w:val="18"/>
          <w:szCs w:val="18"/>
        </w:rPr>
        <w:t>Условия настоящего Дополнительного соглашения №5 являются одинаковыми для всех Собственников.</w:t>
      </w:r>
      <w:r>
        <w:rPr>
          <w:sz w:val="18"/>
          <w:szCs w:val="18"/>
        </w:rPr>
      </w:r>
    </w:p>
    <w:p>
      <w:pPr>
        <w:ind w:firstLine="708"/>
        <w:spacing/>
        <w:jc w:val="center"/>
        <w:rPr>
          <w:sz w:val="18"/>
          <w:szCs w:val="18"/>
        </w:rPr>
      </w:pPr>
      <w:r>
        <w:rPr>
          <w:b/>
          <w:bCs/>
          <w:color w:val="000000"/>
          <w:sz w:val="18"/>
          <w:szCs w:val="18"/>
        </w:rPr>
        <w:t>Реквизиты и подписи сторон</w:t>
      </w:r>
      <w:r>
        <w:rPr>
          <w:sz w:val="18"/>
          <w:szCs w:val="18"/>
        </w:rPr>
      </w:r>
    </w:p>
    <w:tbl>
      <w:tblPr>
        <w:tblStyle w:val="TableGrid"/>
        <w:name w:val="Таблица3"/>
        <w:tabOrder w:val="0"/>
        <w:jc w:val="left"/>
        <w:tblInd w:w="349" w:type="dxa"/>
        <w:tblW w:w="10024" w:type="dxa"/>
        <w:tblLook w:val="04A0" w:firstRow="1" w:lastRow="0" w:firstColumn="1" w:lastColumn="0" w:noHBand="0" w:noVBand="1"/>
      </w:tblPr>
      <w:tblGrid>
        <w:gridCol w:w="10024"/>
      </w:tblGrid>
      <w:tr>
        <w:trPr>
          <w:tblHeader w:val="0"/>
          <w:cantSplit w:val="0"/>
          <w:trHeight w:val="0" w:hRule="auto"/>
        </w:trPr>
        <w:tc>
          <w:tcPr>
            <w:tcW w:w="10024" w:type="dxa"/>
            <w:tcBorders>
              <w:top w:val="nil" w:sz="0" w:space="0" w:color="000000" tmln="20, 20, 20, 0, 0"/>
              <w:left w:val="nil" w:sz="0" w:space="0" w:color="000000" tmln="20, 20, 20, 0, 0"/>
              <w:bottom w:val="nil" w:sz="0" w:space="0" w:color="000000" tmln="20, 20, 20, 0, 0"/>
              <w:right w:val="nil" w:sz="0" w:space="0" w:color="000000" tmln="20, 20, 20, 0, 0"/>
            </w:tcBorders>
            <w:tmTcPr id="1757405527" protected="0"/>
          </w:tcPr>
          <w:p>
            <w:pPr>
              <w:ind w:right="-245"/>
              <w:widowControl w:val="0"/>
              <w:tabs defTabSz="708">
                <w:tab w:val="left" w:pos="1560" w:leader="none"/>
              </w:tabs>
              <w:rPr>
                <w:sz w:val="18"/>
                <w:szCs w:val="18"/>
              </w:rPr>
            </w:pPr>
            <w:r>
              <w:rPr>
                <w:b/>
                <w:sz w:val="18"/>
                <w:szCs w:val="18"/>
              </w:rPr>
              <w:t>Управляющая организация:</w:t>
            </w:r>
            <w:r>
              <w:rPr>
                <w:sz w:val="18"/>
                <w:szCs w:val="18"/>
              </w:rPr>
            </w:r>
          </w:p>
        </w:tc>
      </w:tr>
      <w:tr>
        <w:trPr>
          <w:tblHeader w:val="0"/>
          <w:cantSplit w:val="0"/>
          <w:trHeight w:val="0" w:hRule="auto"/>
        </w:trPr>
        <w:tc>
          <w:tcPr>
            <w:tcW w:w="10024" w:type="dxa"/>
            <w:tcBorders>
              <w:top w:val="nil" w:sz="0" w:space="0" w:color="000000" tmln="20, 20, 20, 0, 0"/>
              <w:left w:val="nil" w:sz="0" w:space="0" w:color="000000" tmln="20, 20, 20, 0, 0"/>
              <w:bottom w:val="nil" w:sz="0" w:space="0" w:color="000000" tmln="20, 20, 20, 0, 0"/>
              <w:right w:val="nil" w:sz="0" w:space="0" w:color="000000" tmln="20, 20, 20, 0, 0"/>
            </w:tcBorders>
            <w:tmTcPr id="1757405527" protected="0"/>
          </w:tcPr>
          <w:p>
            <w:pPr>
              <w:ind w:right="-245"/>
              <w:widowControl w:val="0"/>
              <w:tabs defTabSz="708">
                <w:tab w:val="left" w:pos="1560" w:leader="none"/>
              </w:tabs>
              <w:rPr>
                <w:sz w:val="18"/>
                <w:szCs w:val="18"/>
              </w:rPr>
            </w:pPr>
            <w:r>
              <w:rPr>
                <w:b/>
                <w:sz w:val="18"/>
                <w:szCs w:val="18"/>
              </w:rPr>
              <w:t>ООО «УК Потенциал»</w:t>
            </w:r>
            <w:r>
              <w:rPr>
                <w:sz w:val="18"/>
                <w:szCs w:val="18"/>
              </w:rPr>
            </w:r>
          </w:p>
          <w:p>
            <w:pPr>
              <w:ind w:right="-245"/>
              <w:widowControl w:val="0"/>
              <w:tabs defTabSz="708">
                <w:tab w:val="left" w:pos="1560" w:leader="none"/>
              </w:tabs>
              <w:rPr>
                <w:sz w:val="18"/>
                <w:szCs w:val="18"/>
              </w:rPr>
            </w:pPr>
            <w:r>
              <w:rPr>
                <w:b/>
                <w:sz w:val="18"/>
                <w:szCs w:val="18"/>
              </w:rPr>
              <w:t>ОГРН 1203800010743, ИНН 3805735236</w:t>
            </w:r>
            <w:r>
              <w:rPr>
                <w:sz w:val="18"/>
                <w:szCs w:val="18"/>
              </w:rPr>
            </w:r>
          </w:p>
          <w:p>
            <w:pPr>
              <w:ind w:right="-245"/>
              <w:widowControl w:val="0"/>
              <w:tabs defTabSz="708">
                <w:tab w:val="left" w:pos="1560" w:leader="none"/>
              </w:tabs>
              <w:rPr>
                <w:sz w:val="18"/>
                <w:szCs w:val="18"/>
              </w:rPr>
            </w:pPr>
            <w:r>
              <w:rPr>
                <w:b/>
                <w:sz w:val="18"/>
                <w:szCs w:val="18"/>
              </w:rPr>
              <w:t>г. Братск, ул. Маршала Жукова, здание 4А</w:t>
            </w:r>
            <w:r>
              <w:rPr>
                <w:sz w:val="18"/>
                <w:szCs w:val="18"/>
              </w:rPr>
            </w:r>
          </w:p>
          <w:p>
            <w:pPr>
              <w:ind w:right="-245"/>
              <w:widowControl w:val="0"/>
              <w:tabs defTabSz="708">
                <w:tab w:val="left" w:pos="1560" w:leader="none"/>
              </w:tabs>
              <w:rPr>
                <w:sz w:val="18"/>
                <w:szCs w:val="18"/>
              </w:rPr>
            </w:pPr>
            <w:r>
              <w:rPr>
                <w:b/>
                <w:sz w:val="18"/>
                <w:szCs w:val="18"/>
              </w:rPr>
              <w:t>Контактный телефон: 21-61-15,</w:t>
            </w:r>
            <w:r>
              <w:rPr>
                <w:sz w:val="18"/>
                <w:szCs w:val="18"/>
              </w:rPr>
            </w:r>
          </w:p>
          <w:p>
            <w:pPr>
              <w:ind w:right="-245"/>
              <w:widowControl w:val="0"/>
              <w:tabs defTabSz="708">
                <w:tab w:val="left" w:pos="1560" w:leader="none"/>
              </w:tabs>
              <w:rPr>
                <w:sz w:val="18"/>
                <w:szCs w:val="18"/>
              </w:rPr>
            </w:pPr>
            <w:r>
              <w:rPr>
                <w:b/>
                <w:sz w:val="18"/>
                <w:szCs w:val="18"/>
              </w:rPr>
              <w:t>e-mail: potencial38@yandex.ru,</w:t>
            </w:r>
            <w:r>
              <w:rPr>
                <w:sz w:val="18"/>
                <w:szCs w:val="18"/>
              </w:rPr>
            </w:r>
          </w:p>
          <w:p>
            <w:pPr>
              <w:ind w:right="-245"/>
              <w:widowControl w:val="0"/>
              <w:tabs defTabSz="708">
                <w:tab w:val="left" w:pos="1560" w:leader="none"/>
              </w:tabs>
              <w:rPr>
                <w:sz w:val="18"/>
                <w:szCs w:val="18"/>
              </w:rPr>
            </w:pPr>
            <w:r>
              <w:rPr>
                <w:b/>
                <w:sz w:val="18"/>
                <w:szCs w:val="18"/>
              </w:rPr>
              <w:t>официальный сайт: www.ukpotencial.ru</w:t>
            </w:r>
            <w:r>
              <w:rPr>
                <w:sz w:val="18"/>
                <w:szCs w:val="18"/>
              </w:rPr>
            </w:r>
          </w:p>
          <w:p>
            <w:pPr>
              <w:ind w:right="-245"/>
              <w:widowControl w:val="0"/>
              <w:tabs defTabSz="708">
                <w:tab w:val="left" w:pos="1560" w:leader="none"/>
              </w:tabs>
              <w:rPr>
                <w:sz w:val="18"/>
                <w:szCs w:val="18"/>
              </w:rPr>
            </w:pPr>
            <w:r>
              <w:rPr>
                <w:b/>
                <w:sz w:val="18"/>
                <w:szCs w:val="18"/>
              </w:rPr>
              <w:t>Генеральный директор</w:t>
            </w:r>
            <w:r>
              <w:rPr>
                <w:sz w:val="18"/>
                <w:szCs w:val="18"/>
              </w:rPr>
            </w:r>
          </w:p>
          <w:p>
            <w:pPr>
              <w:ind w:right="-245"/>
              <w:widowControl w:val="0"/>
              <w:tabs defTabSz="708">
                <w:tab w:val="left" w:pos="1560" w:leader="none"/>
              </w:tabs>
              <w:rPr>
                <w:b/>
              </w:rPr>
            </w:pPr>
            <w:r>
              <w:rPr>
                <w:b/>
              </w:rPr>
            </w:r>
          </w:p>
          <w:p>
            <w:pPr>
              <w:ind w:right="-245"/>
              <w:widowControl w:val="0"/>
              <w:tabs defTabSz="708">
                <w:tab w:val="left" w:pos="1560" w:leader="none"/>
              </w:tabs>
              <w:rPr>
                <w:sz w:val="18"/>
                <w:szCs w:val="18"/>
              </w:rPr>
            </w:pPr>
            <w:r>
              <w:rPr>
                <w:b/>
                <w:sz w:val="18"/>
                <w:szCs w:val="18"/>
                <w:u w:color="auto" w:val="single"/>
              </w:rPr>
              <w:t>_________________________</w:t>
            </w:r>
            <w:r>
              <w:rPr>
                <w:b/>
                <w:sz w:val="18"/>
                <w:szCs w:val="18"/>
              </w:rPr>
              <w:t>_ Т.Н. Борозна</w:t>
            </w:r>
            <w:r>
              <w:rPr>
                <w:sz w:val="18"/>
                <w:szCs w:val="18"/>
              </w:rPr>
            </w:r>
          </w:p>
        </w:tc>
      </w:tr>
    </w:tbl>
    <w:p>
      <w:pPr>
        <w:spacing/>
        <w:jc w:val="both"/>
        <w:keepLines/>
        <w:widowControl w:val="0"/>
        <w:tabs defTabSz="708">
          <w:tab w:val="left" w:pos="-180"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sz w:val="16"/>
          <w:szCs w:val="16"/>
        </w:rPr>
      </w:pPr>
      <w:r>
        <w:rPr>
          <w:sz w:val="16"/>
          <w:szCs w:val="16"/>
        </w:rPr>
      </w:r>
    </w:p>
    <w:p>
      <w:pPr>
        <w:rPr>
          <w:rFonts w:cs="Calibri"/>
          <w:sz w:val="18"/>
          <w:szCs w:val="18"/>
        </w:rPr>
      </w:pPr>
      <w:r/>
      <w:bookmarkStart w:id="3" w:name="_Hlk206054604"/>
      <w:r/>
      <w:bookmarkEnd w:id="0"/>
      <w:r/>
      <w:r>
        <w:rPr>
          <w:rFonts w:cs="Calibri"/>
          <w:b/>
          <w:bCs/>
          <w:sz w:val="18"/>
          <w:szCs w:val="18"/>
        </w:rPr>
        <w:t xml:space="preserve">Собственник помещения (МКД - </w:t>
      </w:r>
      <w:r>
        <w:rPr>
          <w:rFonts w:cs="Calibri"/>
          <w:b/>
          <w:sz w:val="18"/>
          <w:szCs w:val="18"/>
        </w:rPr>
        <w:t xml:space="preserve"> ул. Рябикова дом </w:t>
      </w:r>
      <w:r>
        <w:rPr>
          <w:rFonts w:cs="Calibri"/>
          <w:b/>
          <w:sz w:val="18"/>
          <w:szCs w:val="18"/>
        </w:rPr>
        <w:t>23</w:t>
      </w:r>
      <w:r>
        <w:rPr>
          <w:rFonts w:cs="Calibri"/>
          <w:b/>
          <w:bCs/>
          <w:sz w:val="18"/>
          <w:szCs w:val="18"/>
        </w:rPr>
        <w:t>):</w:t>
      </w:r>
      <w:r>
        <w:rPr>
          <w:rFonts w:cs="Calibri"/>
          <w:sz w:val="18"/>
          <w:szCs w:val="18"/>
        </w:rPr>
      </w:r>
    </w:p>
    <w:tbl>
      <w:tblPr>
        <w:tblStyle w:val="NormalTable"/>
        <w:name w:val="Таблица4"/>
        <w:tabOrder w:val="0"/>
        <w:jc w:val="left"/>
        <w:tblInd w:w="55" w:type="dxa"/>
        <w:tblW w:w="10377" w:type="dxa"/>
        <w:tblLook w:val="04A0" w:firstRow="1" w:lastRow="0" w:firstColumn="1" w:lastColumn="0" w:noHBand="0" w:noVBand="1"/>
      </w:tblPr>
      <w:tblGrid>
        <w:gridCol w:w="1176"/>
        <w:gridCol w:w="5963"/>
        <w:gridCol w:w="1552"/>
        <w:gridCol w:w="1686"/>
      </w:tblGrid>
      <w:tr>
        <w:trPr>
          <w:tblHeader w:val="0"/>
          <w:cantSplit w:val="0"/>
          <w:trHeight w:val="15" w:hRule="atLeast"/>
        </w:trPr>
        <w:tc>
          <w:tcPr>
            <w:tcW w:w="1176" w:type="dxa"/>
            <w:vAlign w:val="center"/>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tcBorders>
            <w:tmTcPr id="1757405527" protected="0"/>
          </w:tcPr>
          <w:p>
            <w:pPr>
              <w:pStyle w:val="para21"/>
              <w:spacing/>
              <w:jc w:val="center"/>
              <w:rPr>
                <w:sz w:val="18"/>
                <w:szCs w:val="18"/>
              </w:rPr>
            </w:pPr>
            <w:r>
              <w:rPr>
                <w:b/>
                <w:bCs/>
                <w:sz w:val="18"/>
                <w:szCs w:val="18"/>
              </w:rPr>
              <w:t>№ помещения</w:t>
            </w:r>
            <w:r>
              <w:rPr>
                <w:sz w:val="18"/>
                <w:szCs w:val="18"/>
              </w:rPr>
            </w:r>
          </w:p>
        </w:tc>
        <w:tc>
          <w:tcPr>
            <w:tcW w:w="5963" w:type="dxa"/>
            <w:vAlign w:val="center"/>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tcBorders>
            <w:tmTcPr id="1757405527" protected="0"/>
          </w:tcPr>
          <w:p>
            <w:pPr>
              <w:pStyle w:val="para21"/>
              <w:spacing/>
              <w:jc w:val="center"/>
              <w:rPr>
                <w:sz w:val="18"/>
                <w:szCs w:val="18"/>
              </w:rPr>
            </w:pPr>
            <w:r>
              <w:rPr>
                <w:b/>
                <w:bCs/>
                <w:sz w:val="18"/>
                <w:szCs w:val="18"/>
              </w:rPr>
              <w:t>ФИО собственника помещения</w:t>
            </w:r>
            <w:r>
              <w:rPr>
                <w:sz w:val="18"/>
                <w:szCs w:val="18"/>
              </w:rPr>
            </w:r>
          </w:p>
        </w:tc>
        <w:tc>
          <w:tcPr>
            <w:tcW w:w="1552" w:type="dxa"/>
            <w:vAlign w:val="center"/>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tcBorders>
            <w:tmTcPr id="1757405527" protected="0"/>
          </w:tcPr>
          <w:p>
            <w:pPr>
              <w:pStyle w:val="para21"/>
              <w:spacing/>
              <w:jc w:val="center"/>
              <w:rPr>
                <w:sz w:val="18"/>
                <w:szCs w:val="18"/>
              </w:rPr>
            </w:pPr>
            <w:r>
              <w:rPr>
                <w:b/>
                <w:bCs/>
                <w:sz w:val="18"/>
                <w:szCs w:val="18"/>
              </w:rPr>
              <w:t>Доля в праве  собственности на помещение</w:t>
            </w:r>
            <w:r>
              <w:rPr>
                <w:sz w:val="18"/>
                <w:szCs w:val="18"/>
              </w:rPr>
            </w:r>
          </w:p>
        </w:tc>
        <w:tc>
          <w:tcPr>
            <w:tcW w:w="1686" w:type="dxa"/>
            <w:vAlign w:val="center"/>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spacing/>
              <w:jc w:val="center"/>
              <w:rPr>
                <w:sz w:val="18"/>
                <w:szCs w:val="18"/>
              </w:rPr>
            </w:pPr>
            <w:r>
              <w:rPr>
                <w:b/>
                <w:bCs/>
                <w:sz w:val="18"/>
                <w:szCs w:val="18"/>
              </w:rPr>
              <w:t>Подпись</w:t>
            </w:r>
            <w:r>
              <w:rPr>
                <w:sz w:val="18"/>
                <w:szCs w:val="18"/>
              </w:rPr>
            </w:r>
          </w:p>
        </w:tc>
      </w:tr>
      <w:tr>
        <w:trPr>
          <w:tblHeader w:val="0"/>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r>
      <w:tr>
        <w:trPr>
          <w:tblHeader w:val="0"/>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r>
      <w:tr>
        <w:trPr>
          <w:tblHeader w:val="0"/>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r>
      <w:tr>
        <w:trPr>
          <w:tblHeader w:val="0"/>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r>
      <w:tr>
        <w:trPr>
          <w:tblHeader w:val="0"/>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r>
      <w:tr>
        <w:trPr>
          <w:tblHeader w:val="0"/>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r>
      <w:tr>
        <w:trPr>
          <w:tblHeader w:val="0"/>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r>
      <w:tr>
        <w:trPr>
          <w:tblHeader w:val="0"/>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r>
      <w:tr>
        <w:trPr>
          <w:tblHeader w:val="0"/>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r>
      <w:tr>
        <w:trPr>
          <w:tblHeader w:val="0"/>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r>
      <w:tr>
        <w:trPr>
          <w:tblHeader w:val="0"/>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527" protected="0"/>
          </w:tcPr>
          <w:p>
            <w:pPr>
              <w:pStyle w:val="para21"/>
              <w:rPr>
                <w:sz w:val="18"/>
                <w:szCs w:val="18"/>
              </w:rPr>
            </w:pPr>
            <w:r>
              <w:rPr>
                <w:sz w:val="18"/>
                <w:szCs w:val="18"/>
              </w:rPr>
            </w:r>
          </w:p>
        </w:tc>
      </w:tr>
    </w:tbl>
    <w:p>
      <w:pPr>
        <w:spacing/>
        <w:jc w:val="both"/>
        <w:widowControl w:val="0"/>
        <w:tabs defTabSz="708">
          <w:tab w:val="left" w:pos="-180"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sz w:val="18"/>
          <w:szCs w:val="18"/>
        </w:rPr>
      </w:pPr>
      <w:r>
        <w:rPr>
          <w:sz w:val="18"/>
          <w:szCs w:val="18"/>
        </w:rPr>
      </w:r>
    </w:p>
    <w:p>
      <w:pPr>
        <w:rPr>
          <w:sz w:val="18"/>
          <w:szCs w:val="18"/>
        </w:rPr>
      </w:pPr>
      <w:r>
        <w:rPr>
          <w:sz w:val="18"/>
          <w:szCs w:val="18"/>
        </w:rPr>
      </w:r>
    </w:p>
    <w:sectPr>
      <w:footnotePr>
        <w:pos w:val="pageBottom"/>
        <w:numFmt w:val="decimal"/>
        <w:numStart w:val="1"/>
        <w:numRestart w:val="continuous"/>
      </w:footnotePr>
      <w:endnotePr>
        <w:pos w:val="docEnd"/>
        <w:numFmt w:val="lowerRoman"/>
        <w:numStart w:val="1"/>
        <w:numRestart w:val="continuous"/>
      </w:endnotePr>
      <w:footerReference w:type="default" r:id="rId7"/>
      <w:type w:val="nextPage"/>
      <w:pgSz w:h="16838" w:w="11906"/>
      <w:pgMar w:left="737" w:top="397" w:right="737" w:bottom="284" w:header="0" w:footer="57"/>
      <w:paperSrc w:first="0" w:other="0" a="0" b="0"/>
      <w:pgNumType w:fmt="decimal"/>
      <w:tmGutter w:val="3"/>
      <w:mirrorMargins w:val="0"/>
      <w:tmSection w:h="-2">
        <w:tmFooter w:id="0" w:h="0" edge="57"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ic Roman">
    <w:charset w:val="00"/>
    <w:family w:val="roman"/>
    <w:pitch w:val="default"/>
  </w:font>
  <w:font w:name="Basic Sans">
    <w:charset w:val="00"/>
    <w:family w:val="roman"/>
    <w:pitch w:val="default"/>
  </w:font>
  <w:font w:name="Calibri">
    <w:charset w:val="00"/>
    <w:family w:val="swiss"/>
    <w:pitch w:val="default"/>
  </w:font>
  <w:font w:name="Times New Roman">
    <w:charset w:val="00"/>
    <w:family w:val="roman"/>
    <w:pitch w:val="default"/>
  </w:font>
  <w:font w:name="Tahoma">
    <w:charset w:val="00"/>
    <w:family w:val="swiss"/>
    <w:pitch w:val="default"/>
  </w:font>
  <w:font w:name="Times New Roman CYR">
    <w:charset w:val="cc"/>
    <w:family w:val="roman"/>
    <w:pitch w:val="default"/>
  </w:font>
  <w:font w:name="Cambria">
    <w:charset w:val="00"/>
    <w:family w:val="roman"/>
    <w:pitch w:val="default"/>
  </w:font>
  <w:font w:name="Liberation Sans">
    <w:charset w:val="00"/>
    <w:family w:val="roman"/>
    <w:pitch w:val="default"/>
  </w:font>
  <w:font w:name="Noto Sans CJK SC">
    <w:charset w:val="00"/>
    <w:family w:val="roman"/>
    <w:pitch w:val="default"/>
  </w:font>
  <w:font w:name="Lohit Devanagari">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9"/>
      <w:spacing/>
      <w:jc w:val="center"/>
    </w:pPr>
    <w:r>
      <w:fldChar w:fldCharType="begin"/>
      <w:instrText xml:space="preserve"> PAGE </w:instrText>
      <w:fldChar w:fldCharType="separate"/>
      <w:t>2</w:t>
      <w:fldChar w:fldCharType="end"/>
    </w:r>
  </w:p>
  <w:p>
    <w:pPr>
      <w:pStyle w:val="para9"/>
      <w:rPr>
        <w:sz w:val="20"/>
      </w:rPr>
    </w:pPr>
    <w:r>
      <w:rPr>
        <w:sz w:val="20"/>
      </w:rPr>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2049"/>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11"/>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6"/>
      <w:tmLastPosIdx w:val="95"/>
    </w:tmLastPosCaret>
    <w:tmLastPosAnchor>
      <w:tmLastPosPgfIdx w:val="0"/>
      <w:tmLastPosIdx w:val="0"/>
    </w:tmLastPosAnchor>
    <w:tmLastPosTblRect w:left="0" w:top="0" w:right="0" w:bottom="0"/>
  </w:tmLastPos>
  <w:tmAppRevision w:date="1757405527" w:val="1046" w:fileVer="342" w:fileVer64="64" w:fileVerOS="3"/>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ru-ru" w:eastAsia="en-us" w:bidi="ar-sa"/>
      </w:rPr>
    </w:rPrDefault>
    <w:pPrDefault>
      <w:pPr>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sz w:val="24"/>
      <w:szCs w:val="24"/>
      <w:lang w:eastAsia="ru-ru"/>
    </w:rPr>
  </w:style>
  <w:style w:type="paragraph" w:styleId="para1">
    <w:name w:val="Title"/>
    <w:qFormat/>
    <w:basedOn w:val="para0"/>
    <w:next w:val="para2"/>
    <w:pPr>
      <w:spacing w:before="240" w:after="120"/>
      <w:keepNext/>
    </w:pPr>
    <w:rPr>
      <w:rFonts w:ascii="Liberation Sans" w:hAnsi="Liberation Sans" w:eastAsia="Noto Sans CJK SC" w:cs="Lohit Devanagari"/>
      <w:sz w:val="28"/>
      <w:szCs w:val="28"/>
    </w:rPr>
  </w:style>
  <w:style w:type="paragraph" w:styleId="para2">
    <w:name w:val="Body Text"/>
    <w:qFormat/>
    <w:basedOn w:val="para0"/>
    <w:rPr>
      <w:sz w:val="22"/>
      <w:szCs w:val="22"/>
    </w:rPr>
  </w:style>
  <w:style w:type="paragraph" w:styleId="para3">
    <w:name w:val="List"/>
    <w:qFormat/>
    <w:basedOn w:val="para2"/>
    <w:rPr>
      <w:rFonts w:cs="Lohit Devanagari"/>
    </w:rPr>
  </w:style>
  <w:style w:type="paragraph" w:styleId="para4">
    <w:name w:val="caption"/>
    <w:qFormat/>
    <w:basedOn w:val="para0"/>
    <w:pPr>
      <w:spacing w:before="120" w:after="120"/>
      <w:suppressLineNumbers/>
    </w:pPr>
    <w:rPr>
      <w:rFonts w:cs="Lohit Devanagari"/>
      <w:i/>
      <w:iCs/>
    </w:rPr>
  </w:style>
  <w:style w:type="paragraph" w:styleId="para5">
    <w:name w:val="Index Heading"/>
    <w:qFormat/>
    <w:basedOn w:val="para0"/>
    <w:pPr>
      <w:suppressLineNumbers/>
    </w:pPr>
    <w:rPr>
      <w:rFonts w:cs="Lohit Devanagari"/>
    </w:rPr>
  </w:style>
  <w:style w:type="paragraph" w:styleId="para6">
    <w:name w:val="Normal (Web)"/>
    <w:qFormat/>
    <w:basedOn w:val="para0"/>
    <w:pPr>
      <w:spacing w:beforeAutospacing="1" w:afterAutospacing="1"/>
      <w:jc w:val="both"/>
    </w:pPr>
  </w:style>
  <w:style w:type="paragraph" w:styleId="para7">
    <w:name w:val="List Paragraph"/>
    <w:qFormat/>
    <w:basedOn w:val="para0"/>
    <w:pPr>
      <w:ind w:left="720"/>
      <w:contextualSpacing/>
    </w:pPr>
    <w:rPr>
      <w:rFonts w:ascii="Calibri" w:hAnsi="Calibri" w:eastAsia="Calibri"/>
      <w:sz w:val="22"/>
      <w:szCs w:val="22"/>
      <w:lang w:eastAsia="en-us"/>
    </w:rPr>
  </w:style>
  <w:style w:type="paragraph" w:styleId="para8" w:customStyle="1">
    <w:name w:val="Колонтитул"/>
    <w:qFormat/>
    <w:basedOn w:val="para0"/>
  </w:style>
  <w:style w:type="paragraph" w:styleId="para9">
    <w:name w:val="Footer"/>
    <w:qFormat/>
    <w:basedOn w:val="para0"/>
    <w:pPr>
      <w:tabs defTabSz="708">
        <w:tab w:val="center" w:pos="4677" w:leader="none"/>
        <w:tab w:val="right" w:pos="9355" w:leader="none"/>
      </w:tabs>
    </w:pPr>
  </w:style>
  <w:style w:type="paragraph" w:styleId="para10">
    <w:name w:val="No Spacing"/>
    <w:qFormat/>
    <w:rPr>
      <w:rFonts w:ascii="Calibri" w:hAnsi="Calibri" w:eastAsia="Calibri" w:cs="Calibri"/>
      <w:sz w:val="22"/>
      <w:szCs w:val="22"/>
      <w:lang w:val="ru-ru" w:eastAsia="ru-ru" w:bidi="ar-sa"/>
    </w:rPr>
  </w:style>
  <w:style w:type="paragraph" w:styleId="para11" w:customStyle="1">
    <w:name w:val="annotation text"/>
    <w:qFormat/>
    <w:basedOn w:val="para0"/>
    <w:rPr>
      <w:sz w:val="20"/>
      <w:szCs w:val="20"/>
    </w:rPr>
  </w:style>
  <w:style w:type="paragraph" w:styleId="para12" w:customStyle="1">
    <w:name w:val="annotation subject"/>
    <w:qFormat/>
    <w:basedOn w:val="para11"/>
    <w:next w:val="para11"/>
    <w:rPr>
      <w:b/>
      <w:bCs/>
    </w:rPr>
  </w:style>
  <w:style w:type="paragraph" w:styleId="para13">
    <w:name w:val="Balloon Text"/>
    <w:qFormat/>
    <w:basedOn w:val="para0"/>
    <w:rPr>
      <w:rFonts w:ascii="Tahoma" w:hAnsi="Tahoma" w:cs="Tahoma"/>
      <w:sz w:val="16"/>
      <w:szCs w:val="16"/>
    </w:rPr>
  </w:style>
  <w:style w:type="paragraph" w:styleId="para14">
    <w:name w:val="Header"/>
    <w:qFormat/>
    <w:basedOn w:val="para0"/>
    <w:pPr>
      <w:tabs defTabSz="708">
        <w:tab w:val="center" w:pos="4677" w:leader="none"/>
        <w:tab w:val="right" w:pos="9355" w:leader="none"/>
      </w:tabs>
    </w:pPr>
  </w:style>
  <w:style w:type="paragraph" w:styleId="para15" w:customStyle="1">
    <w:name w:val="Сетка таблицы1"/>
    <w:qFormat/>
    <w:pPr>
      <w:spacing w:after="200" w:line="276" w:lineRule="auto"/>
    </w:pPr>
    <w:rPr>
      <w:rFonts w:ascii="Calibri" w:hAnsi="Calibri" w:eastAsia="Calibri" w:cs="Times New Roman"/>
      <w:sz w:val="22"/>
      <w:szCs w:val="22"/>
      <w:lang w:val="ru-ru" w:eastAsia="en-us" w:bidi="ar-sa"/>
    </w:rPr>
  </w:style>
  <w:style w:type="paragraph" w:styleId="para16" w:customStyle="1">
    <w:name w:val="Прижатый влево"/>
    <w:qFormat/>
    <w:basedOn w:val="para0"/>
    <w:next w:val="para0"/>
  </w:style>
  <w:style w:type="paragraph" w:styleId="para17" w:customStyle="1">
    <w:name w:val="Нормальный (таблица)"/>
    <w:qFormat/>
    <w:basedOn w:val="para0"/>
    <w:next w:val="para0"/>
  </w:style>
  <w:style w:type="paragraph" w:styleId="para18" w:customStyle="1">
    <w:name w:val="Комментарий"/>
    <w:qFormat/>
    <w:next w:val="para0"/>
    <w:pPr>
      <w:ind w:left="170" w:right="170"/>
      <w:spacing w:before="75"/>
    </w:pPr>
    <w:rPr>
      <w:rFonts w:ascii="Calibri" w:hAnsi="Calibri" w:eastAsia="Calibri" w:cs="Calibri"/>
      <w:color w:val="353842"/>
      <w:sz w:val="22"/>
      <w:szCs w:val="22"/>
      <w:lang w:val="ru-ru" w:eastAsia="en-us" w:bidi="ar-sa"/>
    </w:rPr>
  </w:style>
  <w:style w:type="paragraph" w:styleId="para19" w:customStyle="1">
    <w:name w:val="Текст (справка)"/>
    <w:qFormat/>
    <w:basedOn w:val="para0"/>
    <w:next w:val="para0"/>
    <w:pPr>
      <w:ind w:left="170" w:right="170"/>
    </w:pPr>
  </w:style>
  <w:style w:type="paragraph" w:styleId="para20" w:customStyle="1">
    <w:name w:val="Обычная таблица1"/>
    <w:qFormat/>
    <w:pPr>
      <w:spacing w:after="200" w:line="276" w:lineRule="auto"/>
    </w:pPr>
    <w:rPr>
      <w:rFonts w:ascii="Calibri" w:hAnsi="Calibri" w:eastAsia="Times New Roman" w:cs="Times New Roman"/>
      <w:kern w:val="1"/>
      <w:sz w:val="22"/>
      <w:szCs w:val="22"/>
      <w:lang w:val="ru-ru" w:eastAsia="ru-ru" w:bidi="ar-sa"/>
    </w:rPr>
  </w:style>
  <w:style w:type="paragraph" w:styleId="para21" w:customStyle="1">
    <w:name w:val="Содержимое таблицы"/>
    <w:qFormat/>
    <w:basedOn w:val="para0"/>
    <w:pPr>
      <w:suppressLineNumbers/>
      <w:widowControl w:val="0"/>
    </w:pPr>
  </w:style>
  <w:style w:type="paragraph" w:styleId="para22" w:customStyle="1">
    <w:name w:val="Заголовок таблицы"/>
    <w:qFormat/>
    <w:basedOn w:val="para21"/>
    <w:pPr>
      <w:spacing/>
      <w:jc w:val="center"/>
    </w:pPr>
    <w:rPr>
      <w:b/>
      <w:bCs/>
    </w:rPr>
  </w:style>
  <w:style w:type="paragraph" w:styleId="para23" w:customStyle="1">
    <w:name w:val="western"/>
    <w:qFormat/>
    <w:basedOn w:val="para0"/>
    <w:pPr>
      <w:spacing w:before="100" w:beforeAutospacing="1"/>
      <w:hyphenationLines w:val="1"/>
    </w:pPr>
    <w:rPr>
      <w:rFonts w:eastAsia="Calibri"/>
      <w:color w:val="000000"/>
      <w:sz w:val="22"/>
      <w:szCs w:val="22"/>
    </w:rPr>
  </w:style>
  <w:style w:type="character" w:styleId="char0" w:default="1">
    <w:name w:val="Default Paragraph Font"/>
  </w:style>
  <w:style w:type="character" w:styleId="char1" w:customStyle="1">
    <w:name w:val="Гипертекстовая ссылка"/>
    <w:basedOn w:val="char0"/>
    <w:rPr>
      <w:b/>
      <w:bCs/>
      <w:color w:val="106bbe"/>
    </w:rPr>
  </w:style>
  <w:style w:type="character" w:styleId="char2" w:customStyle="1">
    <w:name w:val="Нижний колонтитул Знак"/>
    <w:basedOn w:val="char0"/>
    <w:rPr>
      <w:rFonts w:ascii="Times New Roman" w:hAnsi="Times New Roman" w:eastAsia="Times New Roman" w:cs="Times New Roman"/>
      <w:sz w:val="24"/>
      <w:szCs w:val="24"/>
      <w:lang w:eastAsia="ru-ru"/>
    </w:rPr>
  </w:style>
  <w:style w:type="character" w:styleId="char3" w:customStyle="1">
    <w:name w:val="Интернет-ссылка"/>
    <w:rPr>
      <w:color w:val="0000ff"/>
      <w:u w:color="auto" w:val="single"/>
    </w:rPr>
  </w:style>
  <w:style w:type="character" w:styleId="char4" w:customStyle="1">
    <w:name w:val="Основной текст Знак"/>
    <w:basedOn w:val="char0"/>
    <w:rPr>
      <w:rFonts w:ascii="Times New Roman" w:hAnsi="Times New Roman" w:eastAsia="Times New Roman" w:cs="Times New Roman"/>
      <w:lang w:eastAsia="ru-ru"/>
    </w:rPr>
  </w:style>
  <w:style w:type="character" w:styleId="char5" w:customStyle="1">
    <w:name w:val="annotation reference"/>
    <w:basedOn w:val="char0"/>
    <w:rPr>
      <w:sz w:val="16"/>
      <w:szCs w:val="16"/>
    </w:rPr>
  </w:style>
  <w:style w:type="character" w:styleId="char6" w:customStyle="1">
    <w:name w:val="Текст примечания Знак"/>
    <w:basedOn w:val="char0"/>
    <w:rPr>
      <w:rFonts w:ascii="Times New Roman" w:hAnsi="Times New Roman" w:eastAsia="Times New Roman" w:cs="Times New Roman"/>
      <w:sz w:val="20"/>
      <w:szCs w:val="20"/>
      <w:lang w:eastAsia="ru-ru"/>
    </w:rPr>
  </w:style>
  <w:style w:type="character" w:styleId="char7" w:customStyle="1">
    <w:name w:val="Тема примечания Знак"/>
    <w:basedOn w:val="char6"/>
    <w:rPr>
      <w:rFonts w:ascii="Times New Roman" w:hAnsi="Times New Roman" w:eastAsia="Times New Roman" w:cs="Times New Roman"/>
      <w:b/>
      <w:bCs/>
      <w:sz w:val="20"/>
      <w:szCs w:val="20"/>
      <w:lang w:eastAsia="ru-ru"/>
    </w:rPr>
  </w:style>
  <w:style w:type="character" w:styleId="char8" w:customStyle="1">
    <w:name w:val="Текст выноски Знак"/>
    <w:basedOn w:val="char0"/>
    <w:rPr>
      <w:rFonts w:ascii="Tahoma" w:hAnsi="Tahoma" w:eastAsia="Times New Roman" w:cs="Tahoma"/>
      <w:sz w:val="16"/>
      <w:szCs w:val="16"/>
      <w:lang w:eastAsia="ru-ru"/>
    </w:rPr>
  </w:style>
  <w:style w:type="character" w:styleId="char9" w:customStyle="1">
    <w:name w:val="Верхний колонтитул Знак"/>
    <w:basedOn w:val="char0"/>
    <w:rPr>
      <w:rFonts w:ascii="Times New Roman" w:hAnsi="Times New Roman" w:eastAsia="Times New Roman" w:cs="Times New Roman"/>
      <w:sz w:val="24"/>
      <w:szCs w:val="24"/>
      <w:lang w:eastAsia="ru-ru"/>
    </w:rPr>
  </w:style>
  <w:style w:type="character" w:styleId="char10" w:customStyle="1">
    <w:name w:val="Текст сноски Знак"/>
    <w:rPr>
      <w:rFonts w:ascii="Times New Roman" w:hAnsi="Times New Roman" w:cs="Times New Roman"/>
      <w:color w:val="000000"/>
      <w:sz w:val="20"/>
      <w:szCs w:val="20"/>
    </w:rPr>
  </w:style>
  <w:style w:type="character" w:styleId="char11" w:customStyle="1">
    <w:name w:val="Цветовое выделение для Текст"/>
    <w:rPr>
      <w:rFonts w:ascii="Times New Roman CYR" w:hAnsi="Times New Roman CYR"/>
    </w:rPr>
  </w:style>
  <w:style w:type="character" w:styleId="char12" w:customStyle="1">
    <w:name w:val="Цветовое выделение"/>
    <w:rPr>
      <w:b/>
      <w:color w:val="26282f"/>
    </w:rPr>
  </w:style>
  <w:style w:type="character" w:styleId="char13" w:customStyle="1">
    <w:name w:val="Заголовок 1 Знак"/>
    <w:rPr>
      <w:rFonts w:ascii="Cambria" w:hAnsi="Cambria" w:eastAsia="Times New Roman" w:cs="Times New Roman"/>
      <w:b/>
      <w:bCs/>
      <w:color w:val="000000"/>
      <w:sz w:val="32"/>
      <w:szCs w:val="32"/>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ru-ru" w:eastAsia="en-us" w:bidi="ar-sa"/>
      </w:rPr>
    </w:rPrDefault>
    <w:pPrDefault>
      <w:pPr>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sz w:val="24"/>
      <w:szCs w:val="24"/>
      <w:lang w:eastAsia="ru-ru"/>
    </w:rPr>
  </w:style>
  <w:style w:type="paragraph" w:styleId="para1">
    <w:name w:val="Title"/>
    <w:qFormat/>
    <w:basedOn w:val="para0"/>
    <w:next w:val="para2"/>
    <w:pPr>
      <w:spacing w:before="240" w:after="120"/>
      <w:keepNext/>
    </w:pPr>
    <w:rPr>
      <w:rFonts w:ascii="Liberation Sans" w:hAnsi="Liberation Sans" w:eastAsia="Noto Sans CJK SC" w:cs="Lohit Devanagari"/>
      <w:sz w:val="28"/>
      <w:szCs w:val="28"/>
    </w:rPr>
  </w:style>
  <w:style w:type="paragraph" w:styleId="para2">
    <w:name w:val="Body Text"/>
    <w:qFormat/>
    <w:basedOn w:val="para0"/>
    <w:rPr>
      <w:sz w:val="22"/>
      <w:szCs w:val="22"/>
    </w:rPr>
  </w:style>
  <w:style w:type="paragraph" w:styleId="para3">
    <w:name w:val="List"/>
    <w:qFormat/>
    <w:basedOn w:val="para2"/>
    <w:rPr>
      <w:rFonts w:cs="Lohit Devanagari"/>
    </w:rPr>
  </w:style>
  <w:style w:type="paragraph" w:styleId="para4">
    <w:name w:val="caption"/>
    <w:qFormat/>
    <w:basedOn w:val="para0"/>
    <w:pPr>
      <w:spacing w:before="120" w:after="120"/>
      <w:suppressLineNumbers/>
    </w:pPr>
    <w:rPr>
      <w:rFonts w:cs="Lohit Devanagari"/>
      <w:i/>
      <w:iCs/>
    </w:rPr>
  </w:style>
  <w:style w:type="paragraph" w:styleId="para5">
    <w:name w:val="Index Heading"/>
    <w:qFormat/>
    <w:basedOn w:val="para0"/>
    <w:pPr>
      <w:suppressLineNumbers/>
    </w:pPr>
    <w:rPr>
      <w:rFonts w:cs="Lohit Devanagari"/>
    </w:rPr>
  </w:style>
  <w:style w:type="paragraph" w:styleId="para6">
    <w:name w:val="Normal (Web)"/>
    <w:qFormat/>
    <w:basedOn w:val="para0"/>
    <w:pPr>
      <w:spacing w:beforeAutospacing="1" w:afterAutospacing="1"/>
      <w:jc w:val="both"/>
    </w:pPr>
  </w:style>
  <w:style w:type="paragraph" w:styleId="para7">
    <w:name w:val="List Paragraph"/>
    <w:qFormat/>
    <w:basedOn w:val="para0"/>
    <w:pPr>
      <w:ind w:left="720"/>
      <w:contextualSpacing/>
    </w:pPr>
    <w:rPr>
      <w:rFonts w:ascii="Calibri" w:hAnsi="Calibri" w:eastAsia="Calibri"/>
      <w:sz w:val="22"/>
      <w:szCs w:val="22"/>
      <w:lang w:eastAsia="en-us"/>
    </w:rPr>
  </w:style>
  <w:style w:type="paragraph" w:styleId="para8" w:customStyle="1">
    <w:name w:val="Колонтитул"/>
    <w:qFormat/>
    <w:basedOn w:val="para0"/>
  </w:style>
  <w:style w:type="paragraph" w:styleId="para9">
    <w:name w:val="Footer"/>
    <w:qFormat/>
    <w:basedOn w:val="para0"/>
    <w:pPr>
      <w:tabs defTabSz="708">
        <w:tab w:val="center" w:pos="4677" w:leader="none"/>
        <w:tab w:val="right" w:pos="9355" w:leader="none"/>
      </w:tabs>
    </w:pPr>
  </w:style>
  <w:style w:type="paragraph" w:styleId="para10">
    <w:name w:val="No Spacing"/>
    <w:qFormat/>
    <w:rPr>
      <w:rFonts w:ascii="Calibri" w:hAnsi="Calibri" w:eastAsia="Calibri" w:cs="Calibri"/>
      <w:sz w:val="22"/>
      <w:szCs w:val="22"/>
      <w:lang w:val="ru-ru" w:eastAsia="ru-ru" w:bidi="ar-sa"/>
    </w:rPr>
  </w:style>
  <w:style w:type="paragraph" w:styleId="para11" w:customStyle="1">
    <w:name w:val="annotation text"/>
    <w:qFormat/>
    <w:basedOn w:val="para0"/>
    <w:rPr>
      <w:sz w:val="20"/>
      <w:szCs w:val="20"/>
    </w:rPr>
  </w:style>
  <w:style w:type="paragraph" w:styleId="para12" w:customStyle="1">
    <w:name w:val="annotation subject"/>
    <w:qFormat/>
    <w:basedOn w:val="para11"/>
    <w:next w:val="para11"/>
    <w:rPr>
      <w:b/>
      <w:bCs/>
    </w:rPr>
  </w:style>
  <w:style w:type="paragraph" w:styleId="para13">
    <w:name w:val="Balloon Text"/>
    <w:qFormat/>
    <w:basedOn w:val="para0"/>
    <w:rPr>
      <w:rFonts w:ascii="Tahoma" w:hAnsi="Tahoma" w:cs="Tahoma"/>
      <w:sz w:val="16"/>
      <w:szCs w:val="16"/>
    </w:rPr>
  </w:style>
  <w:style w:type="paragraph" w:styleId="para14">
    <w:name w:val="Header"/>
    <w:qFormat/>
    <w:basedOn w:val="para0"/>
    <w:pPr>
      <w:tabs defTabSz="708">
        <w:tab w:val="center" w:pos="4677" w:leader="none"/>
        <w:tab w:val="right" w:pos="9355" w:leader="none"/>
      </w:tabs>
    </w:pPr>
  </w:style>
  <w:style w:type="paragraph" w:styleId="para15" w:customStyle="1">
    <w:name w:val="Сетка таблицы1"/>
    <w:qFormat/>
    <w:pPr>
      <w:spacing w:after="200" w:line="276" w:lineRule="auto"/>
    </w:pPr>
    <w:rPr>
      <w:rFonts w:ascii="Calibri" w:hAnsi="Calibri" w:eastAsia="Calibri" w:cs="Times New Roman"/>
      <w:sz w:val="22"/>
      <w:szCs w:val="22"/>
      <w:lang w:val="ru-ru" w:eastAsia="en-us" w:bidi="ar-sa"/>
    </w:rPr>
  </w:style>
  <w:style w:type="paragraph" w:styleId="para16" w:customStyle="1">
    <w:name w:val="Прижатый влево"/>
    <w:qFormat/>
    <w:basedOn w:val="para0"/>
    <w:next w:val="para0"/>
  </w:style>
  <w:style w:type="paragraph" w:styleId="para17" w:customStyle="1">
    <w:name w:val="Нормальный (таблица)"/>
    <w:qFormat/>
    <w:basedOn w:val="para0"/>
    <w:next w:val="para0"/>
  </w:style>
  <w:style w:type="paragraph" w:styleId="para18" w:customStyle="1">
    <w:name w:val="Комментарий"/>
    <w:qFormat/>
    <w:next w:val="para0"/>
    <w:pPr>
      <w:ind w:left="170" w:right="170"/>
      <w:spacing w:before="75"/>
    </w:pPr>
    <w:rPr>
      <w:rFonts w:ascii="Calibri" w:hAnsi="Calibri" w:eastAsia="Calibri" w:cs="Calibri"/>
      <w:color w:val="353842"/>
      <w:sz w:val="22"/>
      <w:szCs w:val="22"/>
      <w:lang w:val="ru-ru" w:eastAsia="en-us" w:bidi="ar-sa"/>
    </w:rPr>
  </w:style>
  <w:style w:type="paragraph" w:styleId="para19" w:customStyle="1">
    <w:name w:val="Текст (справка)"/>
    <w:qFormat/>
    <w:basedOn w:val="para0"/>
    <w:next w:val="para0"/>
    <w:pPr>
      <w:ind w:left="170" w:right="170"/>
    </w:pPr>
  </w:style>
  <w:style w:type="paragraph" w:styleId="para20" w:customStyle="1">
    <w:name w:val="Обычная таблица1"/>
    <w:qFormat/>
    <w:pPr>
      <w:spacing w:after="200" w:line="276" w:lineRule="auto"/>
    </w:pPr>
    <w:rPr>
      <w:rFonts w:ascii="Calibri" w:hAnsi="Calibri" w:eastAsia="Times New Roman" w:cs="Times New Roman"/>
      <w:kern w:val="1"/>
      <w:sz w:val="22"/>
      <w:szCs w:val="22"/>
      <w:lang w:val="ru-ru" w:eastAsia="ru-ru" w:bidi="ar-sa"/>
    </w:rPr>
  </w:style>
  <w:style w:type="paragraph" w:styleId="para21" w:customStyle="1">
    <w:name w:val="Содержимое таблицы"/>
    <w:qFormat/>
    <w:basedOn w:val="para0"/>
    <w:pPr>
      <w:suppressLineNumbers/>
      <w:widowControl w:val="0"/>
    </w:pPr>
  </w:style>
  <w:style w:type="paragraph" w:styleId="para22" w:customStyle="1">
    <w:name w:val="Заголовок таблицы"/>
    <w:qFormat/>
    <w:basedOn w:val="para21"/>
    <w:pPr>
      <w:spacing/>
      <w:jc w:val="center"/>
    </w:pPr>
    <w:rPr>
      <w:b/>
      <w:bCs/>
    </w:rPr>
  </w:style>
  <w:style w:type="paragraph" w:styleId="para23" w:customStyle="1">
    <w:name w:val="western"/>
    <w:qFormat/>
    <w:basedOn w:val="para0"/>
    <w:pPr>
      <w:spacing w:before="100" w:beforeAutospacing="1"/>
      <w:hyphenationLines w:val="1"/>
    </w:pPr>
    <w:rPr>
      <w:rFonts w:eastAsia="Calibri"/>
      <w:color w:val="000000"/>
      <w:sz w:val="22"/>
      <w:szCs w:val="22"/>
    </w:rPr>
  </w:style>
  <w:style w:type="character" w:styleId="char0" w:default="1">
    <w:name w:val="Default Paragraph Font"/>
  </w:style>
  <w:style w:type="character" w:styleId="char1" w:customStyle="1">
    <w:name w:val="Гипертекстовая ссылка"/>
    <w:basedOn w:val="char0"/>
    <w:rPr>
      <w:b/>
      <w:bCs/>
      <w:color w:val="106bbe"/>
    </w:rPr>
  </w:style>
  <w:style w:type="character" w:styleId="char2" w:customStyle="1">
    <w:name w:val="Нижний колонтитул Знак"/>
    <w:basedOn w:val="char0"/>
    <w:rPr>
      <w:rFonts w:ascii="Times New Roman" w:hAnsi="Times New Roman" w:eastAsia="Times New Roman" w:cs="Times New Roman"/>
      <w:sz w:val="24"/>
      <w:szCs w:val="24"/>
      <w:lang w:eastAsia="ru-ru"/>
    </w:rPr>
  </w:style>
  <w:style w:type="character" w:styleId="char3" w:customStyle="1">
    <w:name w:val="Интернет-ссылка"/>
    <w:rPr>
      <w:color w:val="0000ff"/>
      <w:u w:color="auto" w:val="single"/>
    </w:rPr>
  </w:style>
  <w:style w:type="character" w:styleId="char4" w:customStyle="1">
    <w:name w:val="Основной текст Знак"/>
    <w:basedOn w:val="char0"/>
    <w:rPr>
      <w:rFonts w:ascii="Times New Roman" w:hAnsi="Times New Roman" w:eastAsia="Times New Roman" w:cs="Times New Roman"/>
      <w:lang w:eastAsia="ru-ru"/>
    </w:rPr>
  </w:style>
  <w:style w:type="character" w:styleId="char5" w:customStyle="1">
    <w:name w:val="annotation reference"/>
    <w:basedOn w:val="char0"/>
    <w:rPr>
      <w:sz w:val="16"/>
      <w:szCs w:val="16"/>
    </w:rPr>
  </w:style>
  <w:style w:type="character" w:styleId="char6" w:customStyle="1">
    <w:name w:val="Текст примечания Знак"/>
    <w:basedOn w:val="char0"/>
    <w:rPr>
      <w:rFonts w:ascii="Times New Roman" w:hAnsi="Times New Roman" w:eastAsia="Times New Roman" w:cs="Times New Roman"/>
      <w:sz w:val="20"/>
      <w:szCs w:val="20"/>
      <w:lang w:eastAsia="ru-ru"/>
    </w:rPr>
  </w:style>
  <w:style w:type="character" w:styleId="char7" w:customStyle="1">
    <w:name w:val="Тема примечания Знак"/>
    <w:basedOn w:val="char6"/>
    <w:rPr>
      <w:rFonts w:ascii="Times New Roman" w:hAnsi="Times New Roman" w:eastAsia="Times New Roman" w:cs="Times New Roman"/>
      <w:b/>
      <w:bCs/>
      <w:sz w:val="20"/>
      <w:szCs w:val="20"/>
      <w:lang w:eastAsia="ru-ru"/>
    </w:rPr>
  </w:style>
  <w:style w:type="character" w:styleId="char8" w:customStyle="1">
    <w:name w:val="Текст выноски Знак"/>
    <w:basedOn w:val="char0"/>
    <w:rPr>
      <w:rFonts w:ascii="Tahoma" w:hAnsi="Tahoma" w:eastAsia="Times New Roman" w:cs="Tahoma"/>
      <w:sz w:val="16"/>
      <w:szCs w:val="16"/>
      <w:lang w:eastAsia="ru-ru"/>
    </w:rPr>
  </w:style>
  <w:style w:type="character" w:styleId="char9" w:customStyle="1">
    <w:name w:val="Верхний колонтитул Знак"/>
    <w:basedOn w:val="char0"/>
    <w:rPr>
      <w:rFonts w:ascii="Times New Roman" w:hAnsi="Times New Roman" w:eastAsia="Times New Roman" w:cs="Times New Roman"/>
      <w:sz w:val="24"/>
      <w:szCs w:val="24"/>
      <w:lang w:eastAsia="ru-ru"/>
    </w:rPr>
  </w:style>
  <w:style w:type="character" w:styleId="char10" w:customStyle="1">
    <w:name w:val="Текст сноски Знак"/>
    <w:rPr>
      <w:rFonts w:ascii="Times New Roman" w:hAnsi="Times New Roman" w:cs="Times New Roman"/>
      <w:color w:val="000000"/>
      <w:sz w:val="20"/>
      <w:szCs w:val="20"/>
    </w:rPr>
  </w:style>
  <w:style w:type="character" w:styleId="char11" w:customStyle="1">
    <w:name w:val="Цветовое выделение для Текст"/>
    <w:rPr>
      <w:rFonts w:ascii="Times New Roman CYR" w:hAnsi="Times New Roman CYR"/>
    </w:rPr>
  </w:style>
  <w:style w:type="character" w:styleId="char12" w:customStyle="1">
    <w:name w:val="Цветовое выделение"/>
    <w:rPr>
      <w:b/>
      <w:color w:val="26282f"/>
    </w:rPr>
  </w:style>
  <w:style w:type="character" w:styleId="char13" w:customStyle="1">
    <w:name w:val="Заголовок 1 Знак"/>
    <w:rPr>
      <w:rFonts w:ascii="Cambria" w:hAnsi="Cambria" w:eastAsia="Times New Roman" w:cs="Times New Roman"/>
      <w:b/>
      <w:bCs/>
      <w:color w:val="000000"/>
      <w:sz w:val="32"/>
      <w:szCs w:val="32"/>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rev.1046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11</cp:revision>
  <cp:lastPrinted>2025-08-12T01:53:00Z</cp:lastPrinted>
  <dcterms:created xsi:type="dcterms:W3CDTF">2025-08-12T04:31:00Z</dcterms:created>
  <dcterms:modified xsi:type="dcterms:W3CDTF">2025-09-09T08:12:07Z</dcterms:modified>
</cp:coreProperties>
</file>